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F2A7" w14:textId="1F38FA9B" w:rsidR="007920E5" w:rsidRPr="002E64AE" w:rsidRDefault="007920E5" w:rsidP="002E64AE">
      <w:pPr>
        <w:pStyle w:val="SemEspaamento"/>
        <w:spacing w:line="360" w:lineRule="auto"/>
        <w:jc w:val="center"/>
        <w:rPr>
          <w:b/>
          <w:bCs/>
          <w:szCs w:val="24"/>
        </w:rPr>
      </w:pPr>
      <w:r w:rsidRPr="00E74EB6">
        <w:rPr>
          <w:b/>
          <w:bCs/>
        </w:rPr>
        <w:t>Título em português</w:t>
      </w:r>
      <w:r w:rsidR="002E64AE">
        <w:rPr>
          <w:b/>
          <w:bCs/>
        </w:rPr>
        <w:t xml:space="preserve"> </w:t>
      </w:r>
      <w:r w:rsidR="002E64AE" w:rsidRPr="00B66B9B">
        <w:rPr>
          <w:b/>
          <w:bCs/>
          <w:color w:val="808080"/>
          <w:szCs w:val="24"/>
        </w:rPr>
        <w:t>[</w:t>
      </w:r>
      <w:r w:rsidR="002E64AE" w:rsidRPr="00B66B9B">
        <w:rPr>
          <w:b/>
          <w:color w:val="808080"/>
        </w:rPr>
        <w:t>negrito, fonte times 12, centralizado, espaçamento 1,</w:t>
      </w:r>
      <w:r w:rsidR="002E64AE">
        <w:rPr>
          <w:b/>
          <w:color w:val="808080"/>
        </w:rPr>
        <w:t>0</w:t>
      </w:r>
      <w:r w:rsidR="002E64AE" w:rsidRPr="00B66B9B">
        <w:rPr>
          <w:b/>
          <w:color w:val="808080"/>
        </w:rPr>
        <w:t>]</w:t>
      </w:r>
    </w:p>
    <w:p w14:paraId="13C9B9F7" w14:textId="77777777" w:rsidR="00F47E83" w:rsidRPr="00E74EB6" w:rsidRDefault="00F47E83" w:rsidP="004B082A">
      <w:pPr>
        <w:jc w:val="center"/>
        <w:rPr>
          <w:b/>
          <w:bCs/>
        </w:rPr>
      </w:pPr>
    </w:p>
    <w:p w14:paraId="6229A317" w14:textId="48AF0983" w:rsidR="007920E5" w:rsidRPr="00E74EB6" w:rsidRDefault="007920E5" w:rsidP="004B082A">
      <w:pPr>
        <w:jc w:val="center"/>
        <w:rPr>
          <w:b/>
          <w:bCs/>
        </w:rPr>
      </w:pPr>
      <w:r w:rsidRPr="00E74EB6">
        <w:rPr>
          <w:b/>
          <w:bCs/>
        </w:rPr>
        <w:t>Título em inglês</w:t>
      </w:r>
      <w:r w:rsidR="002E64AE">
        <w:rPr>
          <w:b/>
          <w:bCs/>
        </w:rPr>
        <w:t xml:space="preserve"> </w:t>
      </w:r>
      <w:r w:rsidR="002E64AE" w:rsidRPr="00B66B9B">
        <w:rPr>
          <w:b/>
          <w:bCs/>
          <w:color w:val="808080"/>
        </w:rPr>
        <w:t>[</w:t>
      </w:r>
      <w:r w:rsidR="002E64AE" w:rsidRPr="00B66B9B">
        <w:rPr>
          <w:b/>
          <w:color w:val="808080"/>
        </w:rPr>
        <w:t>negrito, fonte times 12, centralizado, espaçamento 1,</w:t>
      </w:r>
      <w:r w:rsidR="002E64AE">
        <w:rPr>
          <w:b/>
          <w:color w:val="808080"/>
        </w:rPr>
        <w:t>0</w:t>
      </w:r>
      <w:r w:rsidR="002E64AE" w:rsidRPr="00B66B9B">
        <w:rPr>
          <w:b/>
          <w:color w:val="808080"/>
        </w:rPr>
        <w:t>]</w:t>
      </w:r>
    </w:p>
    <w:p w14:paraId="7AE0AFC3" w14:textId="7DC19D56" w:rsidR="00E43453" w:rsidRDefault="00E43453" w:rsidP="004B082A">
      <w:pPr>
        <w:jc w:val="both"/>
        <w:rPr>
          <w:b/>
        </w:rPr>
      </w:pPr>
    </w:p>
    <w:p w14:paraId="07BDD765" w14:textId="3C25605B" w:rsidR="00AB1D4A" w:rsidRDefault="00AB1D4A" w:rsidP="00AB1D4A">
      <w:pPr>
        <w:jc w:val="center"/>
        <w:rPr>
          <w:b/>
        </w:rPr>
      </w:pPr>
      <w:r>
        <w:rPr>
          <w:color w:val="000000" w:themeColor="text1"/>
        </w:rPr>
        <w:t xml:space="preserve">Obs.: </w:t>
      </w:r>
      <w:r w:rsidRPr="00735383">
        <w:rPr>
          <w:color w:val="000000" w:themeColor="text1"/>
        </w:rPr>
        <w:t>A identidade dos autores não deve ser incluída no corpo do artigo que será submetido.</w:t>
      </w:r>
    </w:p>
    <w:p w14:paraId="69D392A0" w14:textId="77777777" w:rsidR="005969F2" w:rsidRPr="00E74EB6" w:rsidRDefault="005969F2" w:rsidP="004B082A">
      <w:pPr>
        <w:jc w:val="both"/>
      </w:pPr>
    </w:p>
    <w:p w14:paraId="78F45F7A" w14:textId="125B5C89" w:rsidR="007920E5" w:rsidRPr="00E74EB6" w:rsidRDefault="007920E5" w:rsidP="004B082A">
      <w:pPr>
        <w:jc w:val="both"/>
        <w:rPr>
          <w:b/>
          <w:bCs/>
        </w:rPr>
      </w:pPr>
      <w:r w:rsidRPr="00E74EB6">
        <w:rPr>
          <w:b/>
          <w:bCs/>
        </w:rPr>
        <w:t>Resumo</w:t>
      </w:r>
    </w:p>
    <w:p w14:paraId="55F99C28" w14:textId="61E458BA" w:rsidR="00F47E83" w:rsidRPr="00E74EB6" w:rsidRDefault="00F17BD2" w:rsidP="004B082A">
      <w:pPr>
        <w:jc w:val="both"/>
      </w:pPr>
      <w:r>
        <w:t xml:space="preserve">Deve </w:t>
      </w:r>
      <w:r w:rsidR="00E74EB6">
        <w:t>conter entre</w:t>
      </w:r>
      <w:r w:rsidR="00F47E83" w:rsidRPr="00E74EB6">
        <w:t xml:space="preserve"> 180 e 250 palavras</w:t>
      </w:r>
      <w:r>
        <w:t xml:space="preserve"> em parágrafo único, justificado e com </w:t>
      </w:r>
      <w:r w:rsidR="002E64AE">
        <w:t xml:space="preserve">fonte times 12, </w:t>
      </w:r>
      <w:r>
        <w:t>espaçamento de 1,0</w:t>
      </w:r>
      <w:r w:rsidR="00E74EB6">
        <w:t>. Resumos extensos serão de</w:t>
      </w:r>
      <w:r>
        <w:t>volvidos para adequação às diretrizes.</w:t>
      </w:r>
    </w:p>
    <w:p w14:paraId="62E7615D" w14:textId="083933F5" w:rsidR="00E74EB6" w:rsidRPr="00F17BD2" w:rsidRDefault="007920E5" w:rsidP="004B082A">
      <w:pPr>
        <w:jc w:val="both"/>
        <w:rPr>
          <w:b/>
          <w:bCs/>
        </w:rPr>
      </w:pPr>
      <w:r w:rsidRPr="00E74EB6">
        <w:rPr>
          <w:b/>
          <w:bCs/>
        </w:rPr>
        <w:t>Palavras-chave</w:t>
      </w:r>
      <w:r w:rsidR="00E74EB6" w:rsidRPr="00E74EB6">
        <w:rPr>
          <w:b/>
          <w:bCs/>
        </w:rPr>
        <w:t>:</w:t>
      </w:r>
      <w:r w:rsidR="00F17BD2">
        <w:rPr>
          <w:b/>
          <w:bCs/>
        </w:rPr>
        <w:t xml:space="preserve"> </w:t>
      </w:r>
      <w:r w:rsidR="00F17BD2" w:rsidRPr="00F17BD2">
        <w:t>ao final do resumo, devem ser listad</w:t>
      </w:r>
      <w:r w:rsidR="00F17BD2">
        <w:t>a</w:t>
      </w:r>
      <w:r w:rsidR="00F17BD2" w:rsidRPr="00F17BD2">
        <w:t xml:space="preserve">s </w:t>
      </w:r>
      <w:r w:rsidR="00F17BD2">
        <w:t>n</w:t>
      </w:r>
      <w:r w:rsidR="00E74EB6" w:rsidRPr="00E74EB6">
        <w:t>o mínimo 3 e no máximo 5 palavras</w:t>
      </w:r>
      <w:r w:rsidR="00F17BD2">
        <w:t>-chave</w:t>
      </w:r>
      <w:r w:rsidR="00E74EB6" w:rsidRPr="00E74EB6">
        <w:t xml:space="preserve"> separadas por ponto e vírgula</w:t>
      </w:r>
      <w:r w:rsidR="00F17BD2">
        <w:t xml:space="preserve"> e em ordem alfabética</w:t>
      </w:r>
      <w:r w:rsidR="00B24B0B">
        <w:t>.</w:t>
      </w:r>
      <w:r w:rsidR="00F17BD2">
        <w:t xml:space="preserve"> Não usar termos que já estejam presentes no título.</w:t>
      </w:r>
    </w:p>
    <w:p w14:paraId="3BA7164F" w14:textId="7087B396" w:rsidR="00F17BD2" w:rsidRDefault="00F17BD2" w:rsidP="004B082A">
      <w:pPr>
        <w:jc w:val="both"/>
      </w:pPr>
    </w:p>
    <w:p w14:paraId="31CE5DAA" w14:textId="50F3B2EE" w:rsidR="00291585" w:rsidRDefault="007920E5" w:rsidP="004B082A">
      <w:pPr>
        <w:jc w:val="both"/>
        <w:rPr>
          <w:b/>
          <w:bCs/>
        </w:rPr>
      </w:pPr>
      <w:r w:rsidRPr="00E74EB6">
        <w:rPr>
          <w:b/>
          <w:bCs/>
        </w:rPr>
        <w:t>Abstract</w:t>
      </w:r>
    </w:p>
    <w:p w14:paraId="302440BC" w14:textId="6B99EA5F" w:rsidR="002964B5" w:rsidRPr="002964B5" w:rsidRDefault="002964B5" w:rsidP="004B082A">
      <w:pPr>
        <w:jc w:val="both"/>
      </w:pPr>
      <w:r w:rsidRPr="002964B5">
        <w:t>Resumo deve ser traduzido para língua inglesa de forma fiel</w:t>
      </w:r>
      <w:r>
        <w:t xml:space="preserve"> ao redigido em língua portuguesa.</w:t>
      </w:r>
    </w:p>
    <w:p w14:paraId="1C4C103B" w14:textId="59E8B9CC" w:rsidR="002964B5" w:rsidRPr="00B16612" w:rsidRDefault="007920E5" w:rsidP="002964B5">
      <w:pPr>
        <w:jc w:val="both"/>
        <w:rPr>
          <w:b/>
          <w:bCs/>
        </w:rPr>
      </w:pPr>
      <w:r w:rsidRPr="00E74EB6">
        <w:rPr>
          <w:b/>
          <w:bCs/>
        </w:rPr>
        <w:t>Key-words</w:t>
      </w:r>
      <w:r w:rsidR="00B16612">
        <w:rPr>
          <w:b/>
          <w:bCs/>
        </w:rPr>
        <w:t xml:space="preserve">: </w:t>
      </w:r>
      <w:r w:rsidR="002964B5" w:rsidRPr="002964B5">
        <w:t>Palavras-chave devem ser traduzidas para língua inglesa de forma fiel</w:t>
      </w:r>
      <w:r w:rsidR="002964B5">
        <w:t xml:space="preserve"> ao redigido em língua portuguesa.</w:t>
      </w:r>
    </w:p>
    <w:p w14:paraId="31C84912" w14:textId="54CE3124" w:rsidR="00897B14" w:rsidRDefault="00897B14" w:rsidP="004B082A">
      <w:pPr>
        <w:jc w:val="both"/>
        <w:rPr>
          <w:b/>
          <w:bCs/>
        </w:rPr>
      </w:pPr>
    </w:p>
    <w:p w14:paraId="451E7917" w14:textId="5FB6F19E" w:rsidR="00B10522" w:rsidRDefault="00897B14" w:rsidP="00B16612">
      <w:pPr>
        <w:jc w:val="both"/>
      </w:pPr>
      <w:r>
        <w:rPr>
          <w:b/>
          <w:bCs/>
        </w:rPr>
        <w:t>Resumo gráfico</w:t>
      </w:r>
      <w:r w:rsidR="00B16612">
        <w:rPr>
          <w:b/>
          <w:bCs/>
        </w:rPr>
        <w:t xml:space="preserve"> (opcional)</w:t>
      </w:r>
    </w:p>
    <w:p w14:paraId="0540094C" w14:textId="3A406727" w:rsidR="00897B14" w:rsidRDefault="00B10522" w:rsidP="00B16612">
      <w:pPr>
        <w:jc w:val="both"/>
      </w:pPr>
      <w:r w:rsidRPr="00B10522">
        <w:t xml:space="preserve">A CAB sugere fortemente </w:t>
      </w:r>
      <w:r>
        <w:t>que</w:t>
      </w:r>
      <w:r w:rsidRPr="00B10522">
        <w:t xml:space="preserve"> </w:t>
      </w:r>
      <w:r w:rsidR="00596363">
        <w:t xml:space="preserve">os </w:t>
      </w:r>
      <w:r w:rsidRPr="00B10522">
        <w:t>autores produ</w:t>
      </w:r>
      <w:r>
        <w:t>zam</w:t>
      </w:r>
      <w:r w:rsidRPr="00B10522">
        <w:t xml:space="preserve"> um resumo gráfico/visual</w:t>
      </w:r>
      <w:r w:rsidR="005969F2">
        <w:t xml:space="preserve"> (Exemplo: </w:t>
      </w:r>
      <w:hyperlink r:id="rId7" w:history="1">
        <w:r w:rsidR="005969F2" w:rsidRPr="006C1D8A">
          <w:rPr>
            <w:rStyle w:val="Hyperlink"/>
          </w:rPr>
          <w:t>https://www.scielo.br/j/jbn/a/4kqVkwSqkgFTbdC9VgThvnP/?lang=pt#</w:t>
        </w:r>
      </w:hyperlink>
      <w:r w:rsidR="005969F2">
        <w:t>)</w:t>
      </w:r>
      <w:r w:rsidRPr="00B10522">
        <w:t>. O resumo gráfico deve ser enviado juntamente com o artigo, sendo adicionado logo após o Resumo/Abstract</w:t>
      </w:r>
      <w:r w:rsidR="00F7669A">
        <w:t xml:space="preserve"> (texto)</w:t>
      </w:r>
      <w:r w:rsidRPr="00B10522">
        <w:t>. Ele deve apresentar de forma clara e pictórica as principais conclusões do artigo com o intuito de proporcionar aos leitores a compreensão rápida da mensagem do artigo de forma "visual". O resumo gráfico não deve ser numerado.</w:t>
      </w:r>
      <w:r w:rsidR="009807BC">
        <w:t xml:space="preserve"> </w:t>
      </w:r>
    </w:p>
    <w:p w14:paraId="73563975" w14:textId="77777777" w:rsidR="00B16612" w:rsidRPr="00B10522" w:rsidRDefault="00B16612" w:rsidP="00B16612">
      <w:pPr>
        <w:ind w:firstLine="708"/>
        <w:jc w:val="both"/>
      </w:pPr>
    </w:p>
    <w:p w14:paraId="7CA80DDB" w14:textId="7346972D" w:rsidR="00B24B0B" w:rsidRPr="00B16612" w:rsidRDefault="00B16612" w:rsidP="00291585">
      <w:pPr>
        <w:spacing w:line="360" w:lineRule="auto"/>
        <w:jc w:val="both"/>
        <w:rPr>
          <w:b/>
          <w:bCs/>
        </w:rPr>
      </w:pPr>
      <w:r w:rsidRPr="00B16612">
        <w:rPr>
          <w:b/>
          <w:bCs/>
        </w:rPr>
        <w:t xml:space="preserve">1. </w:t>
      </w:r>
      <w:r w:rsidR="007920E5" w:rsidRPr="00B16612">
        <w:rPr>
          <w:b/>
          <w:bCs/>
        </w:rPr>
        <w:t>Introdução</w:t>
      </w:r>
    </w:p>
    <w:p w14:paraId="3E2F57A1" w14:textId="77777777" w:rsidR="00B16612" w:rsidRDefault="00B24B0B" w:rsidP="00B16612">
      <w:pPr>
        <w:spacing w:line="360" w:lineRule="auto"/>
        <w:ind w:firstLine="708"/>
        <w:jc w:val="both"/>
      </w:pPr>
      <w:r w:rsidRPr="004B082A">
        <w:rPr>
          <w:color w:val="000000" w:themeColor="text1"/>
          <w:shd w:val="clear" w:color="auto" w:fill="FFFFFF"/>
        </w:rPr>
        <w:t>Todo o texto deverá ser escrito</w:t>
      </w:r>
      <w:r w:rsidR="00453A8D" w:rsidRPr="004B082A">
        <w:rPr>
          <w:color w:val="000000" w:themeColor="text1"/>
          <w:shd w:val="clear" w:color="auto" w:fill="FFFFFF"/>
        </w:rPr>
        <w:t xml:space="preserve"> exclusivamente</w:t>
      </w:r>
      <w:r w:rsidRPr="004B082A">
        <w:rPr>
          <w:color w:val="000000" w:themeColor="text1"/>
          <w:shd w:val="clear" w:color="auto" w:fill="FFFFFF"/>
        </w:rPr>
        <w:t xml:space="preserve"> com fonte Times New Roman, tamanho 12. </w:t>
      </w:r>
      <w:r w:rsidRPr="004B082A">
        <w:rPr>
          <w:color w:val="000000" w:themeColor="text1"/>
        </w:rPr>
        <w:t>As páginas e linhas devem ser numeradas de forma contínua. </w:t>
      </w:r>
      <w:r w:rsidR="006D6788" w:rsidRPr="004B082A">
        <w:rPr>
          <w:color w:val="000000" w:themeColor="text1"/>
        </w:rPr>
        <w:t xml:space="preserve">O espaçamento deverá ser de 1,5. </w:t>
      </w:r>
      <w:r w:rsidRPr="004B082A">
        <w:rPr>
          <w:color w:val="000000" w:themeColor="text1"/>
        </w:rPr>
        <w:t xml:space="preserve">A introdução deverá apresentar </w:t>
      </w:r>
      <w:r>
        <w:t>a c</w:t>
      </w:r>
      <w:r w:rsidRPr="00B24B0B">
        <w:t>ontextualização do assunto estudado</w:t>
      </w:r>
      <w:r>
        <w:t xml:space="preserve">, justificativa e, ao </w:t>
      </w:r>
      <w:r w:rsidRPr="00B24B0B">
        <w:t>final, os objetivos do trabalho.</w:t>
      </w:r>
      <w:r w:rsidR="00BA6D8C">
        <w:t xml:space="preserve"> </w:t>
      </w:r>
    </w:p>
    <w:p w14:paraId="7954C1A2" w14:textId="01F50FA3" w:rsidR="00B16612" w:rsidRPr="00B16612" w:rsidRDefault="00B16612" w:rsidP="00B16612">
      <w:pPr>
        <w:spacing w:line="360" w:lineRule="auto"/>
        <w:ind w:firstLine="708"/>
        <w:jc w:val="both"/>
      </w:pPr>
      <w:r w:rsidRPr="00AE02C2">
        <w:rPr>
          <w:shd w:val="clear" w:color="auto" w:fill="FFFFFF"/>
        </w:rPr>
        <w:t>As citações</w:t>
      </w:r>
      <w:r>
        <w:rPr>
          <w:shd w:val="clear" w:color="auto" w:fill="FFFFFF"/>
        </w:rPr>
        <w:t xml:space="preserve"> devem ser apresentadas no</w:t>
      </w:r>
      <w:r w:rsidRPr="00AE02C2">
        <w:rPr>
          <w:shd w:val="clear" w:color="auto" w:fill="FFFFFF"/>
        </w:rPr>
        <w:t xml:space="preserve"> </w:t>
      </w:r>
      <w:r w:rsidRPr="00B16612">
        <w:rPr>
          <w:rStyle w:val="Forte"/>
          <w:u w:val="single"/>
        </w:rPr>
        <w:t>Estilo</w:t>
      </w:r>
      <w:r w:rsidRPr="00B16612">
        <w:rPr>
          <w:rStyle w:val="apple-converted-space"/>
          <w:b/>
          <w:bCs/>
          <w:u w:val="single"/>
        </w:rPr>
        <w:t> </w:t>
      </w:r>
      <w:r w:rsidRPr="00B16612">
        <w:rPr>
          <w:rStyle w:val="nfase"/>
          <w:b/>
          <w:bCs/>
          <w:i w:val="0"/>
          <w:iCs w:val="0"/>
          <w:u w:val="single"/>
        </w:rPr>
        <w:t>Vancouver</w:t>
      </w:r>
      <w:r w:rsidRPr="00B16612">
        <w:rPr>
          <w:i/>
          <w:iCs/>
          <w:shd w:val="clear" w:color="auto" w:fill="FFFFFF"/>
        </w:rPr>
        <w:t>,</w:t>
      </w:r>
      <w:r>
        <w:rPr>
          <w:shd w:val="clear" w:color="auto" w:fill="FFFFFF"/>
        </w:rPr>
        <w:t xml:space="preserve"> </w:t>
      </w:r>
      <w:r w:rsidRPr="00AE02C2">
        <w:rPr>
          <w:shd w:val="clear" w:color="auto" w:fill="FFFFFF"/>
        </w:rPr>
        <w:t>numericamente, em ordem crescente, entre parênteses e sobrescritas.  O artigo submetido poderá redigido em inglês ou em português</w:t>
      </w:r>
      <w:r>
        <w:rPr>
          <w:shd w:val="clear" w:color="auto" w:fill="FFFFFF"/>
        </w:rPr>
        <w:t xml:space="preserve"> (</w:t>
      </w:r>
      <w:r w:rsidRPr="00AE02C2">
        <w:rPr>
          <w:shd w:val="clear" w:color="auto" w:fill="FFFFFF"/>
        </w:rPr>
        <w:t xml:space="preserve">Como a revista CAB adota a publicação bilíngue, os autores </w:t>
      </w:r>
      <w:r>
        <w:rPr>
          <w:shd w:val="clear" w:color="auto" w:fill="FFFFFF"/>
        </w:rPr>
        <w:t>devem</w:t>
      </w:r>
      <w:r w:rsidRPr="00AE02C2">
        <w:rPr>
          <w:shd w:val="clear" w:color="auto" w:fill="FFFFFF"/>
        </w:rPr>
        <w:t xml:space="preserve"> ter ciência que será necessário o envio do texto na outra modalidade no caso de aprovação para publicação</w:t>
      </w:r>
      <w:r>
        <w:rPr>
          <w:shd w:val="clear" w:color="auto" w:fill="FFFFFF"/>
        </w:rPr>
        <w:t>)</w:t>
      </w:r>
      <w:r w:rsidRPr="00AE02C2">
        <w:rPr>
          <w:shd w:val="clear" w:color="auto" w:fill="FFFFFF"/>
        </w:rPr>
        <w:t>.</w:t>
      </w:r>
    </w:p>
    <w:p w14:paraId="6D701ADB" w14:textId="77777777" w:rsidR="00B16612" w:rsidRPr="002B69A7" w:rsidRDefault="00B16612" w:rsidP="00BA6D8C">
      <w:pPr>
        <w:spacing w:line="360" w:lineRule="auto"/>
        <w:ind w:firstLine="708"/>
        <w:jc w:val="both"/>
        <w:rPr>
          <w:color w:val="FF0000"/>
        </w:rPr>
      </w:pPr>
    </w:p>
    <w:p w14:paraId="4FC1D7C9" w14:textId="77C9DF5B" w:rsidR="007920E5" w:rsidRDefault="00B16612" w:rsidP="00291585">
      <w:pPr>
        <w:spacing w:line="360" w:lineRule="auto"/>
        <w:jc w:val="both"/>
        <w:rPr>
          <w:b/>
          <w:bCs/>
        </w:rPr>
      </w:pPr>
      <w:r>
        <w:rPr>
          <w:b/>
          <w:bCs/>
        </w:rPr>
        <w:t xml:space="preserve">2. </w:t>
      </w:r>
      <w:r w:rsidR="007920E5" w:rsidRPr="00E74EB6">
        <w:rPr>
          <w:b/>
          <w:bCs/>
        </w:rPr>
        <w:t xml:space="preserve">Material e </w:t>
      </w:r>
      <w:r>
        <w:rPr>
          <w:b/>
          <w:bCs/>
        </w:rPr>
        <w:t>m</w:t>
      </w:r>
      <w:r w:rsidR="007920E5" w:rsidRPr="00E74EB6">
        <w:rPr>
          <w:b/>
          <w:bCs/>
        </w:rPr>
        <w:t>étodos</w:t>
      </w:r>
    </w:p>
    <w:p w14:paraId="2C960B9C" w14:textId="51994F12" w:rsidR="001B3752" w:rsidRDefault="00B16612" w:rsidP="001B3752">
      <w:pPr>
        <w:spacing w:line="360" w:lineRule="auto"/>
        <w:ind w:firstLine="708"/>
        <w:jc w:val="both"/>
        <w:rPr>
          <w:shd w:val="clear" w:color="auto" w:fill="FFFFFF"/>
        </w:rPr>
        <w:sectPr w:rsidR="001B3752" w:rsidSect="00E74EB6">
          <w:headerReference w:type="even" r:id="rId8"/>
          <w:headerReference w:type="default" r:id="rId9"/>
          <w:pgSz w:w="11900" w:h="16840"/>
          <w:pgMar w:top="1418" w:right="1418" w:bottom="1418" w:left="1418" w:header="709" w:footer="709" w:gutter="0"/>
          <w:lnNumType w:countBy="1" w:restart="continuous"/>
          <w:cols w:space="708"/>
          <w:docGrid w:linePitch="360"/>
        </w:sectPr>
      </w:pPr>
      <w:r w:rsidRPr="00735383">
        <w:rPr>
          <w:shd w:val="clear" w:color="auto" w:fill="FFFFFF"/>
        </w:rPr>
        <w:t>A seção “Material e métodos” pode conter subseções.</w:t>
      </w:r>
      <w:r>
        <w:t xml:space="preserve"> </w:t>
      </w:r>
      <w:r>
        <w:rPr>
          <w:color w:val="000000" w:themeColor="text1"/>
        </w:rPr>
        <w:t>P</w:t>
      </w:r>
      <w:r w:rsidRPr="00AE02C2">
        <w:rPr>
          <w:color w:val="000000" w:themeColor="text1"/>
        </w:rPr>
        <w:t>esquisa envolvendo seres humanos e animais obrigatoriamente devem apresentar parecer de aprovação de um comitê de ética institucional já na submissão.</w:t>
      </w:r>
      <w:r>
        <w:rPr>
          <w:color w:val="000000" w:themeColor="text1"/>
        </w:rPr>
        <w:t xml:space="preserve"> </w:t>
      </w:r>
      <w:r w:rsidRPr="00AE02C2">
        <w:rPr>
          <w:color w:val="000000" w:themeColor="text1"/>
        </w:rPr>
        <w:t xml:space="preserve">Se aplicável, descrever que a pesquisa foi conduzida de acordo com as normas éticas e aprovado pelo comitê de ética e biossegurança da instituição. O número </w:t>
      </w:r>
      <w:r w:rsidRPr="00AE02C2">
        <w:rPr>
          <w:color w:val="000000" w:themeColor="text1"/>
          <w:shd w:val="clear" w:color="auto" w:fill="FFFFFF"/>
        </w:rPr>
        <w:t xml:space="preserve">do </w:t>
      </w:r>
      <w:r w:rsidRPr="006D6788">
        <w:rPr>
          <w:shd w:val="clear" w:color="auto" w:fill="FFFFFF"/>
        </w:rPr>
        <w:t>protocolo de aprovação da pesquisa pela Comissão de Ética no Uso de Animais</w:t>
      </w:r>
    </w:p>
    <w:p w14:paraId="799DEEE9" w14:textId="049AD601" w:rsidR="00B16612" w:rsidRPr="001B3752" w:rsidRDefault="00B16612" w:rsidP="001B3752">
      <w:pPr>
        <w:spacing w:line="360" w:lineRule="auto"/>
        <w:jc w:val="both"/>
        <w:rPr>
          <w:shd w:val="clear" w:color="auto" w:fill="FFFFFF"/>
        </w:rPr>
      </w:pPr>
      <w:r w:rsidRPr="006D6788">
        <w:rPr>
          <w:shd w:val="clear" w:color="auto" w:fill="FFFFFF"/>
        </w:rPr>
        <w:lastRenderedPageBreak/>
        <w:t>(CEUA) e/ou Comitê de Ética em Pesquisa com Seres Humanos (CEP)</w:t>
      </w:r>
      <w:r>
        <w:rPr>
          <w:shd w:val="clear" w:color="auto" w:fill="FFFFFF"/>
        </w:rPr>
        <w:t xml:space="preserve"> deve ser informado.</w:t>
      </w:r>
      <w:r w:rsidR="002E64AE">
        <w:t xml:space="preserve"> </w:t>
      </w:r>
      <w:r>
        <w:t xml:space="preserve">Não é necessário mencionar o nome da Universidade e laboratório que a pesquisa foi </w:t>
      </w:r>
      <w:r w:rsidRPr="00735383">
        <w:t>realizada.</w:t>
      </w:r>
    </w:p>
    <w:p w14:paraId="57661853" w14:textId="77777777" w:rsidR="00B16612" w:rsidRDefault="00B16612" w:rsidP="00B16612">
      <w:pPr>
        <w:spacing w:line="360" w:lineRule="auto"/>
        <w:ind w:firstLine="708"/>
        <w:jc w:val="both"/>
      </w:pPr>
    </w:p>
    <w:p w14:paraId="6417625C" w14:textId="77777777" w:rsidR="00B16612" w:rsidRPr="00C87D1C" w:rsidRDefault="00B16612" w:rsidP="00B16612">
      <w:pPr>
        <w:spacing w:line="360" w:lineRule="auto"/>
        <w:jc w:val="both"/>
        <w:rPr>
          <w:b/>
          <w:bCs/>
        </w:rPr>
      </w:pPr>
      <w:r w:rsidRPr="00C87D1C">
        <w:rPr>
          <w:b/>
          <w:bCs/>
        </w:rPr>
        <w:t>2.1 Figuras, tabelas e equações</w:t>
      </w:r>
    </w:p>
    <w:p w14:paraId="70254BF2" w14:textId="47772E93" w:rsidR="00B16612" w:rsidRPr="00735383" w:rsidRDefault="00B16612" w:rsidP="00B16612">
      <w:pPr>
        <w:spacing w:line="360" w:lineRule="auto"/>
        <w:ind w:firstLine="708"/>
        <w:jc w:val="both"/>
      </w:pPr>
      <w:r w:rsidRPr="00735383">
        <w:t xml:space="preserve">Todas as imagens e tabelas devem ser apresentadas logo após a primeira citação. </w:t>
      </w:r>
      <w:r w:rsidRPr="0048742B">
        <w:t>As equações devem ser inseridas em formato editável a partir do editor de equações.</w:t>
      </w:r>
      <w:r>
        <w:t xml:space="preserve"> </w:t>
      </w:r>
      <w:r w:rsidRPr="0048742B">
        <w:t xml:space="preserve">As tabelas devem ser inseridas </w:t>
      </w:r>
      <w:r>
        <w:t>em formato editável, não inserir em</w:t>
      </w:r>
      <w:r w:rsidRPr="0048742B">
        <w:t xml:space="preserve"> jpeg/tiff</w:t>
      </w:r>
      <w:r>
        <w:t xml:space="preserve"> etc.</w:t>
      </w:r>
      <w:r w:rsidRPr="0048742B">
        <w:t xml:space="preserve"> </w:t>
      </w:r>
      <w:r>
        <w:t>Tabelas</w:t>
      </w:r>
      <w:r w:rsidRPr="0048742B">
        <w:t xml:space="preserve"> </w:t>
      </w:r>
      <w:r>
        <w:t>extensas</w:t>
      </w:r>
      <w:r w:rsidRPr="0048742B">
        <w:t xml:space="preserve"> podem ser incluídas </w:t>
      </w:r>
      <w:r>
        <w:t>como material suplementar</w:t>
      </w:r>
      <w:r w:rsidRPr="0048742B">
        <w:t xml:space="preserve">. Essas tabelas serão publicadas como Material Suplementar na página do artigo no momento da </w:t>
      </w:r>
      <w:r w:rsidR="002E64AE">
        <w:t>publicação</w:t>
      </w:r>
      <w:r w:rsidRPr="0048742B">
        <w:t>. O autor será notificado durante a composição do artigo final, se for o caso.</w:t>
      </w:r>
    </w:p>
    <w:p w14:paraId="3FED1871" w14:textId="77777777" w:rsidR="00B16612" w:rsidRPr="00B535B3" w:rsidRDefault="00B16612" w:rsidP="00B535B3">
      <w:pPr>
        <w:spacing w:line="360" w:lineRule="auto"/>
        <w:ind w:firstLine="708"/>
        <w:jc w:val="both"/>
        <w:rPr>
          <w:color w:val="0B28F4"/>
        </w:rPr>
      </w:pPr>
    </w:p>
    <w:p w14:paraId="6EBCCC2B" w14:textId="3388529A" w:rsidR="00AB1D4A" w:rsidRPr="00AB1D4A" w:rsidRDefault="00B16612" w:rsidP="00AB1D4A">
      <w:pPr>
        <w:spacing w:line="360" w:lineRule="auto"/>
        <w:jc w:val="both"/>
        <w:rPr>
          <w:b/>
          <w:bCs/>
          <w:color w:val="000000" w:themeColor="text1"/>
        </w:rPr>
      </w:pPr>
      <w:r w:rsidRPr="00B16612">
        <w:rPr>
          <w:b/>
          <w:bCs/>
          <w:color w:val="000000" w:themeColor="text1"/>
        </w:rPr>
        <w:t xml:space="preserve">3. </w:t>
      </w:r>
      <w:r w:rsidR="007920E5" w:rsidRPr="00B16612">
        <w:rPr>
          <w:b/>
          <w:bCs/>
          <w:color w:val="000000" w:themeColor="text1"/>
        </w:rPr>
        <w:t xml:space="preserve">Resultados </w:t>
      </w:r>
    </w:p>
    <w:p w14:paraId="049C41B7" w14:textId="48FACBA7" w:rsidR="00AB1D4A" w:rsidRPr="00AB1D4A" w:rsidRDefault="00AB1D4A" w:rsidP="00AB1D4A">
      <w:pPr>
        <w:spacing w:line="360" w:lineRule="auto"/>
        <w:ind w:firstLine="708"/>
        <w:jc w:val="both"/>
        <w:rPr>
          <w:color w:val="000000" w:themeColor="text1"/>
        </w:rPr>
      </w:pPr>
      <w:r w:rsidRPr="00812886">
        <w:t xml:space="preserve">O autor </w:t>
      </w:r>
      <w:r>
        <w:t xml:space="preserve">pode optar por apresentar os resultados separados da discussão ou reuni-los. </w:t>
      </w:r>
      <w:r w:rsidRPr="00812886">
        <w:t xml:space="preserve"> </w:t>
      </w:r>
      <w:r>
        <w:t>Todas as imagens e tabelas devem ser apresentadas logo após a primeira citação</w:t>
      </w:r>
      <w:r w:rsidRPr="00735383">
        <w:rPr>
          <w:color w:val="000000" w:themeColor="text1"/>
        </w:rPr>
        <w:t xml:space="preserve">. </w:t>
      </w:r>
      <w:r>
        <w:rPr>
          <w:color w:val="000000" w:themeColor="text1"/>
        </w:rPr>
        <w:t>As tabelas devem ser enviadas em formato editável e não devem ser adicionadas em formato de figura.</w:t>
      </w:r>
    </w:p>
    <w:p w14:paraId="5391CF4F" w14:textId="1BCAFAC5" w:rsidR="007920E5" w:rsidRPr="00E74EB6" w:rsidRDefault="007920E5" w:rsidP="00291585">
      <w:pPr>
        <w:spacing w:line="360" w:lineRule="auto"/>
        <w:jc w:val="both"/>
      </w:pPr>
    </w:p>
    <w:p w14:paraId="55030EB6" w14:textId="46F436A1" w:rsidR="007920E5" w:rsidRDefault="00AB1D4A" w:rsidP="00291585">
      <w:pPr>
        <w:spacing w:line="360" w:lineRule="auto"/>
        <w:jc w:val="both"/>
      </w:pPr>
      <w:r>
        <w:rPr>
          <w:b/>
          <w:bCs/>
        </w:rPr>
        <w:t xml:space="preserve">4. </w:t>
      </w:r>
      <w:r w:rsidR="007920E5" w:rsidRPr="00E74EB6">
        <w:rPr>
          <w:b/>
          <w:bCs/>
        </w:rPr>
        <w:t>Discussão</w:t>
      </w:r>
      <w:r w:rsidR="007920E5" w:rsidRPr="00E74EB6">
        <w:t xml:space="preserve"> </w:t>
      </w:r>
    </w:p>
    <w:p w14:paraId="6D29AD55" w14:textId="77777777" w:rsidR="00B2607A" w:rsidRDefault="00B2607A" w:rsidP="00291585">
      <w:pPr>
        <w:spacing w:line="360" w:lineRule="auto"/>
        <w:ind w:firstLine="708"/>
        <w:jc w:val="both"/>
      </w:pPr>
      <w:r w:rsidRPr="00812886">
        <w:t xml:space="preserve">O autor </w:t>
      </w:r>
      <w:r>
        <w:t xml:space="preserve">pode optar por apresentar a discussão junto com os resultados ou separado. A discussão deverá ser amparada na literatura publicada. </w:t>
      </w:r>
    </w:p>
    <w:p w14:paraId="02B83EFA" w14:textId="77777777" w:rsidR="005F7FF9" w:rsidRDefault="005F7FF9" w:rsidP="00291585">
      <w:pPr>
        <w:spacing w:line="360" w:lineRule="auto"/>
        <w:jc w:val="both"/>
        <w:rPr>
          <w:b/>
          <w:bCs/>
        </w:rPr>
      </w:pPr>
    </w:p>
    <w:p w14:paraId="13880CCF" w14:textId="722AA409" w:rsidR="00B2607A" w:rsidRDefault="00AB1D4A" w:rsidP="00291585">
      <w:pPr>
        <w:spacing w:line="360" w:lineRule="auto"/>
        <w:jc w:val="both"/>
        <w:rPr>
          <w:b/>
          <w:bCs/>
        </w:rPr>
      </w:pPr>
      <w:r>
        <w:rPr>
          <w:b/>
          <w:bCs/>
        </w:rPr>
        <w:t xml:space="preserve">5. </w:t>
      </w:r>
      <w:r w:rsidR="007920E5" w:rsidRPr="00E74EB6">
        <w:rPr>
          <w:b/>
          <w:bCs/>
        </w:rPr>
        <w:t>Conclusão</w:t>
      </w:r>
    </w:p>
    <w:p w14:paraId="258864A1" w14:textId="6E334513" w:rsidR="00B2607A" w:rsidRDefault="00B2607A" w:rsidP="00B2607A">
      <w:pPr>
        <w:spacing w:line="360" w:lineRule="auto"/>
        <w:ind w:firstLine="708"/>
        <w:jc w:val="both"/>
      </w:pPr>
      <w:r w:rsidRPr="00B2607A">
        <w:t>As conclusões</w:t>
      </w:r>
      <w:r>
        <w:t xml:space="preserve"> são apresentadas usando o tempo presente. As conclusões respondem ao objetivo do trabalho.</w:t>
      </w:r>
      <w:r w:rsidRPr="00B2607A">
        <w:t xml:space="preserve"> </w:t>
      </w:r>
      <w:r w:rsidR="005F7FF9" w:rsidRPr="005F7FF9">
        <w:t>Não deve conter abreviaturas, símbolos e citações</w:t>
      </w:r>
      <w:r w:rsidR="005F7FF9">
        <w:t>.</w:t>
      </w:r>
    </w:p>
    <w:p w14:paraId="3FEDE71C" w14:textId="77777777" w:rsidR="00AB1D4A" w:rsidRPr="00B2607A" w:rsidRDefault="00AB1D4A" w:rsidP="00B2607A">
      <w:pPr>
        <w:spacing w:line="360" w:lineRule="auto"/>
        <w:ind w:firstLine="708"/>
        <w:jc w:val="both"/>
        <w:rPr>
          <w:b/>
          <w:bCs/>
        </w:rPr>
      </w:pPr>
    </w:p>
    <w:p w14:paraId="786090BD" w14:textId="77777777" w:rsidR="00AB1D4A" w:rsidRPr="00C53387" w:rsidRDefault="00AB1D4A" w:rsidP="00AB1D4A">
      <w:pPr>
        <w:jc w:val="both"/>
        <w:rPr>
          <w:b/>
          <w:bCs/>
        </w:rPr>
      </w:pPr>
      <w:r w:rsidRPr="00C53387">
        <w:rPr>
          <w:b/>
          <w:bCs/>
        </w:rPr>
        <w:t>Material suplementar (se aplicável)</w:t>
      </w:r>
    </w:p>
    <w:p w14:paraId="2126EF42" w14:textId="383C9814" w:rsidR="00DE371B" w:rsidRPr="00C53387" w:rsidRDefault="00AB1D4A" w:rsidP="001B3752">
      <w:pPr>
        <w:ind w:firstLine="708"/>
        <w:jc w:val="both"/>
      </w:pPr>
      <w:r w:rsidRPr="00C53387">
        <w:t>Tabelas extensas, imagens adicionais e dados de pesquisa</w:t>
      </w:r>
      <w:r w:rsidR="00DE371B" w:rsidRPr="00C53387">
        <w:t xml:space="preserve"> que os autores considerem importantes para o estudo, mas que sejam muito extensos para serem incluídos na versão publicada, </w:t>
      </w:r>
      <w:r w:rsidRPr="00C53387">
        <w:t xml:space="preserve">podem ser incluídas como material suplementar. O Material Suplementar deve ser submetido separadamente no </w:t>
      </w:r>
      <w:r w:rsidR="00B665A4" w:rsidRPr="00C53387">
        <w:t>ato da submissão</w:t>
      </w:r>
      <w:r w:rsidR="00DE371B" w:rsidRPr="00C53387">
        <w:t xml:space="preserve"> e será publicado juntamente com a versão online do artigo. A identificação no arquivo do material suplementar deve </w:t>
      </w:r>
      <w:r w:rsidR="004675C7" w:rsidRPr="00C53387">
        <w:t xml:space="preserve">iniciar com </w:t>
      </w:r>
      <w:r w:rsidR="00DE371B" w:rsidRPr="00C53387">
        <w:t>o título do artigo (material suplementar do artigo XXX)</w:t>
      </w:r>
      <w:r w:rsidR="004675C7" w:rsidRPr="00C53387">
        <w:t>. As</w:t>
      </w:r>
      <w:r w:rsidR="00DE371B" w:rsidRPr="00C53387">
        <w:t xml:space="preserve"> tabelas e figuras </w:t>
      </w:r>
      <w:r w:rsidR="004675C7" w:rsidRPr="00C53387">
        <w:t>devem ser identificadas da seguinte forma</w:t>
      </w:r>
      <w:r w:rsidR="00DE371B" w:rsidRPr="00C53387">
        <w:t>: Tabela S1, Tabela S2, etc., Figura S1, Figura S2, etc. Além disso, uma lista desse material deve ser apresentada ao final do arquivo de texto do manuscrito, contendo a seguinte declaração:</w:t>
      </w:r>
    </w:p>
    <w:p w14:paraId="6DB56B33" w14:textId="77777777" w:rsidR="00DE371B" w:rsidRPr="00C53387" w:rsidRDefault="00DE371B" w:rsidP="00DE371B">
      <w:pPr>
        <w:jc w:val="both"/>
      </w:pPr>
      <w:r w:rsidRPr="00C53387">
        <w:t xml:space="preserve"> </w:t>
      </w:r>
    </w:p>
    <w:p w14:paraId="6420439F" w14:textId="279B154F" w:rsidR="004675C7" w:rsidRPr="00C53387" w:rsidRDefault="00DE371B" w:rsidP="00DE371B">
      <w:pPr>
        <w:jc w:val="both"/>
      </w:pPr>
      <w:r w:rsidRPr="00C53387">
        <w:t xml:space="preserve">Material suplementar </w:t>
      </w:r>
    </w:p>
    <w:p w14:paraId="6828E8DB" w14:textId="77777777" w:rsidR="00DE371B" w:rsidRPr="00C53387" w:rsidRDefault="00DE371B" w:rsidP="00DE371B">
      <w:pPr>
        <w:jc w:val="both"/>
      </w:pPr>
      <w:r w:rsidRPr="00C53387">
        <w:t>Tabela S1 – &lt; título curto &gt;</w:t>
      </w:r>
    </w:p>
    <w:p w14:paraId="047A11E6" w14:textId="77777777" w:rsidR="00DE371B" w:rsidRDefault="00DE371B" w:rsidP="00DE371B">
      <w:pPr>
        <w:jc w:val="both"/>
      </w:pPr>
      <w:r w:rsidRPr="00C53387">
        <w:t>Figura S1 – &lt;título curto&gt;</w:t>
      </w:r>
    </w:p>
    <w:p w14:paraId="42B5FFA9" w14:textId="77777777" w:rsidR="00AB1D4A" w:rsidRPr="005F7FF9" w:rsidRDefault="00AB1D4A" w:rsidP="002E6F24">
      <w:pPr>
        <w:spacing w:line="360" w:lineRule="auto"/>
        <w:jc w:val="both"/>
        <w:rPr>
          <w:color w:val="000000" w:themeColor="text1"/>
        </w:rPr>
      </w:pPr>
    </w:p>
    <w:p w14:paraId="44D496E9" w14:textId="77777777" w:rsidR="00AB1D4A" w:rsidRDefault="00AB1D4A" w:rsidP="00AB1D4A">
      <w:pPr>
        <w:jc w:val="both"/>
        <w:rPr>
          <w:b/>
          <w:bCs/>
        </w:rPr>
      </w:pPr>
      <w:r w:rsidRPr="00E74EB6">
        <w:rPr>
          <w:b/>
          <w:bCs/>
        </w:rPr>
        <w:t>Declaração de conflito de interesse</w:t>
      </w:r>
    </w:p>
    <w:p w14:paraId="2AAE43C2" w14:textId="07E00910" w:rsidR="00AB1D4A" w:rsidRPr="005F7FF9" w:rsidRDefault="00AB1D4A" w:rsidP="001B3752">
      <w:pPr>
        <w:ind w:firstLine="708"/>
        <w:jc w:val="both"/>
        <w:rPr>
          <w:color w:val="000000" w:themeColor="text1"/>
        </w:rPr>
      </w:pPr>
      <w:r w:rsidRPr="00735383">
        <w:rPr>
          <w:color w:val="000000" w:themeColor="text1"/>
        </w:rPr>
        <w:t xml:space="preserve">Os autores deverão informar se houve algum conflito de ordem pessoal, comercial, política, acadêmica ou financeira ou de outra natureza que possam ter influenciado seu trabalho. </w:t>
      </w:r>
      <w:r>
        <w:t xml:space="preserve">Se não se aplica, os autores deverão informar: </w:t>
      </w:r>
      <w:r w:rsidRPr="002E6F24">
        <w:t>Os autores declaram não haver conflito de interesses</w:t>
      </w:r>
      <w:r>
        <w:t>.</w:t>
      </w:r>
    </w:p>
    <w:p w14:paraId="7A6A3E84" w14:textId="77777777" w:rsidR="00AB1D4A" w:rsidRPr="00291585" w:rsidRDefault="00AB1D4A" w:rsidP="00AB1D4A">
      <w:pPr>
        <w:jc w:val="both"/>
      </w:pPr>
    </w:p>
    <w:p w14:paraId="58ED5460" w14:textId="77777777" w:rsidR="00AB1D4A" w:rsidRPr="002E64AE" w:rsidRDefault="00AB1D4A" w:rsidP="00AB1D4A">
      <w:pPr>
        <w:jc w:val="both"/>
        <w:rPr>
          <w:b/>
          <w:bCs/>
        </w:rPr>
      </w:pPr>
      <w:r w:rsidRPr="002E64AE">
        <w:rPr>
          <w:b/>
          <w:bCs/>
        </w:rPr>
        <w:t>Contribuições do autor</w:t>
      </w:r>
    </w:p>
    <w:p w14:paraId="23CABB9F" w14:textId="5361715E" w:rsidR="00AB1D4A" w:rsidRDefault="00AB1D4A" w:rsidP="001B3752">
      <w:pPr>
        <w:ind w:firstLine="708"/>
        <w:jc w:val="both"/>
        <w:rPr>
          <w:shd w:val="clear" w:color="auto" w:fill="FFFFFF"/>
        </w:rPr>
      </w:pPr>
      <w:r w:rsidRPr="002A0128">
        <w:rPr>
          <w:color w:val="000000" w:themeColor="text1"/>
          <w:u w:val="single"/>
        </w:rPr>
        <w:t>Esse item só será incluído no arquivo caso o artigo for aceito para publicação</w:t>
      </w:r>
      <w:r w:rsidRPr="002E64AE">
        <w:rPr>
          <w:color w:val="000000" w:themeColor="text1"/>
        </w:rPr>
        <w:t>. As contribuições de cada autor deverão ser incluídas na</w:t>
      </w:r>
      <w:r w:rsidRPr="002E64AE">
        <w:rPr>
          <w:color w:val="000000" w:themeColor="text1"/>
          <w:shd w:val="clear" w:color="auto" w:fill="FFFFFF"/>
        </w:rPr>
        <w:t xml:space="preserve"> declaração de anuência que deverá ser anexada em arquivo separado no ato da submissão. Deverá conter os nomes de todos os autores</w:t>
      </w:r>
      <w:r w:rsidRPr="002E64AE">
        <w:rPr>
          <w:shd w:val="clear" w:color="auto" w:fill="FFFFFF"/>
        </w:rPr>
        <w:t xml:space="preserve">, afiliação e uma descrição individual da contribuição de cada autor na elaboração da pesquisa. </w:t>
      </w:r>
      <w:r w:rsidR="002A0128">
        <w:rPr>
          <w:shd w:val="clear" w:color="auto" w:fill="FFFFFF"/>
        </w:rPr>
        <w:t>A</w:t>
      </w:r>
      <w:r w:rsidRPr="002E64AE">
        <w:rPr>
          <w:shd w:val="clear" w:color="auto" w:fill="FFFFFF"/>
        </w:rPr>
        <w:t xml:space="preserve"> CAB segue taxonomia indicada pelo CRedit (Taxonomia de Funções de Contribuidor) que inclui 14 categorias que normalmente são desempenhadas para a produção científica acadêmica (</w:t>
      </w:r>
      <w:hyperlink r:id="rId10" w:tgtFrame="_blank" w:history="1">
        <w:r w:rsidRPr="002E64AE">
          <w:rPr>
            <w:rStyle w:val="Hyperlink"/>
            <w:color w:val="006798"/>
          </w:rPr>
          <w:t>https://credit.niso.org</w:t>
        </w:r>
      </w:hyperlink>
      <w:r w:rsidRPr="002E64AE">
        <w:rPr>
          <w:shd w:val="clear" w:color="auto" w:fill="FFFFFF"/>
        </w:rPr>
        <w:t>).</w:t>
      </w:r>
    </w:p>
    <w:p w14:paraId="5CBAFE06" w14:textId="77777777" w:rsidR="002A0128" w:rsidRDefault="002A0128" w:rsidP="00AB1D4A">
      <w:pPr>
        <w:jc w:val="both"/>
        <w:rPr>
          <w:highlight w:val="yellow"/>
          <w:shd w:val="clear" w:color="auto" w:fill="FFFFFF"/>
        </w:rPr>
      </w:pPr>
    </w:p>
    <w:p w14:paraId="0F071662" w14:textId="28C3059C" w:rsidR="002E64AE" w:rsidRPr="00BA739A" w:rsidRDefault="002E64AE" w:rsidP="00AB1D4A">
      <w:pPr>
        <w:jc w:val="both"/>
        <w:rPr>
          <w:shd w:val="clear" w:color="auto" w:fill="FFFFFF"/>
        </w:rPr>
      </w:pPr>
      <w:r w:rsidRPr="00BA739A">
        <w:rPr>
          <w:shd w:val="clear" w:color="auto" w:fill="FFFFFF"/>
        </w:rPr>
        <w:t xml:space="preserve">Exemplo: </w:t>
      </w:r>
    </w:p>
    <w:p w14:paraId="7D31AC4F" w14:textId="66557401" w:rsidR="002A0128" w:rsidRPr="00BA739A" w:rsidRDefault="002A0128" w:rsidP="00AB1D4A">
      <w:pPr>
        <w:jc w:val="both"/>
      </w:pPr>
      <w:r w:rsidRPr="00BA739A">
        <w:rPr>
          <w:i/>
          <w:iCs/>
        </w:rPr>
        <w:t>Conceituação</w:t>
      </w:r>
      <w:r w:rsidRPr="00BA739A">
        <w:t xml:space="preserve">: M. Neumann e T. Durmana. </w:t>
      </w:r>
      <w:r w:rsidRPr="00BA739A">
        <w:rPr>
          <w:i/>
          <w:iCs/>
        </w:rPr>
        <w:t>Curadoria de dados</w:t>
      </w:r>
      <w:r w:rsidRPr="00BA739A">
        <w:t xml:space="preserve">: M. Neumann. </w:t>
      </w:r>
      <w:r w:rsidRPr="00BA739A">
        <w:rPr>
          <w:i/>
          <w:iCs/>
        </w:rPr>
        <w:t>Análise formal</w:t>
      </w:r>
      <w:r w:rsidRPr="00BA739A">
        <w:t xml:space="preserve">: M. Neumann. </w:t>
      </w:r>
      <w:r w:rsidRPr="00BA739A">
        <w:rPr>
          <w:i/>
          <w:iCs/>
        </w:rPr>
        <w:t>Aquisição de financiamento</w:t>
      </w:r>
      <w:r w:rsidRPr="00BA739A">
        <w:t xml:space="preserve">: M. Neumann. </w:t>
      </w:r>
      <w:r w:rsidRPr="00BA739A">
        <w:rPr>
          <w:i/>
          <w:iCs/>
        </w:rPr>
        <w:t>Administração do projeto</w:t>
      </w:r>
      <w:r w:rsidRPr="00BA739A">
        <w:t xml:space="preserve">: E. R. Almeida. </w:t>
      </w:r>
      <w:r w:rsidRPr="00BA739A">
        <w:rPr>
          <w:i/>
          <w:iCs/>
        </w:rPr>
        <w:t>Metodologia</w:t>
      </w:r>
      <w:r w:rsidRPr="00BA739A">
        <w:t xml:space="preserve">: M. Neumann e T. Durman. </w:t>
      </w:r>
      <w:r w:rsidRPr="00BA739A">
        <w:rPr>
          <w:i/>
          <w:iCs/>
        </w:rPr>
        <w:t>Supervisão</w:t>
      </w:r>
      <w:r w:rsidRPr="00BA739A">
        <w:t xml:space="preserve">: E. R. Almeida. </w:t>
      </w:r>
      <w:r w:rsidRPr="00BA739A">
        <w:rPr>
          <w:i/>
          <w:iCs/>
        </w:rPr>
        <w:t>Investigação</w:t>
      </w:r>
      <w:r w:rsidRPr="00BA739A">
        <w:t xml:space="preserve">: A. M. Souza, F. B. Cristo, E. Baldissera e E. E. Bremm. </w:t>
      </w:r>
      <w:r w:rsidRPr="00BA739A">
        <w:rPr>
          <w:i/>
          <w:iCs/>
        </w:rPr>
        <w:t>Visualização</w:t>
      </w:r>
      <w:r w:rsidRPr="00BA739A">
        <w:t xml:space="preserve">: E. R. Almeida e A. M. Souza. </w:t>
      </w:r>
      <w:r w:rsidRPr="00BA739A">
        <w:rPr>
          <w:i/>
          <w:iCs/>
        </w:rPr>
        <w:t>Redação (rascunho original)</w:t>
      </w:r>
      <w:r w:rsidRPr="00BA739A">
        <w:t xml:space="preserve">: E. R. Almeida. </w:t>
      </w:r>
      <w:r w:rsidRPr="00BA739A">
        <w:rPr>
          <w:i/>
          <w:iCs/>
        </w:rPr>
        <w:t>Redação (revisão e edição)</w:t>
      </w:r>
      <w:r w:rsidRPr="00BA739A">
        <w:t>: M. Neumann e A. M. Souza</w:t>
      </w:r>
    </w:p>
    <w:p w14:paraId="77502C11" w14:textId="72F6D43E" w:rsidR="002A0128" w:rsidRPr="00BA739A" w:rsidRDefault="002A0128" w:rsidP="00AB1D4A">
      <w:pPr>
        <w:jc w:val="both"/>
      </w:pPr>
    </w:p>
    <w:p w14:paraId="023947E9" w14:textId="1EE5D389" w:rsidR="002A0128" w:rsidRPr="00BA739A" w:rsidRDefault="002A0128" w:rsidP="00AB1D4A">
      <w:pPr>
        <w:jc w:val="both"/>
        <w:rPr>
          <w:sz w:val="22"/>
          <w:szCs w:val="22"/>
        </w:rPr>
      </w:pPr>
      <w:r w:rsidRPr="00BA739A">
        <w:rPr>
          <w:sz w:val="22"/>
          <w:szCs w:val="22"/>
        </w:rPr>
        <w:t>Referência utilizada no exemplo para adição de contribuições do autor:</w:t>
      </w:r>
    </w:p>
    <w:p w14:paraId="4C835A37" w14:textId="6ADA0C9A" w:rsidR="0061216D" w:rsidRPr="0061216D" w:rsidRDefault="0061216D" w:rsidP="00AB1D4A">
      <w:pPr>
        <w:jc w:val="both"/>
        <w:rPr>
          <w:sz w:val="22"/>
          <w:szCs w:val="22"/>
        </w:rPr>
      </w:pPr>
      <w:r w:rsidRPr="00BA739A">
        <w:rPr>
          <w:sz w:val="22"/>
          <w:szCs w:val="22"/>
          <w:shd w:val="clear" w:color="auto" w:fill="FFFFFF"/>
          <w:lang w:val="en-US"/>
        </w:rPr>
        <w:t>RODRIGUES DE ALMEIDA, E.; NEUMANN, M.; DURMAN, T.; MARTINS DE SOUZA, A.; BRAGA CRISTO, F.; BALDISSERA, E.; EMANUELA BREMM, E. Ammonium dipropionate in the total mixed ration does not change the ingestive behavior but improves the productive performance of feedlot bulls.</w:t>
      </w:r>
      <w:r w:rsidRPr="00BA739A">
        <w:rPr>
          <w:rStyle w:val="apple-converted-space"/>
          <w:sz w:val="22"/>
          <w:szCs w:val="22"/>
          <w:shd w:val="clear" w:color="auto" w:fill="FFFFFF"/>
          <w:lang w:val="en-US"/>
        </w:rPr>
        <w:t> </w:t>
      </w:r>
      <w:r w:rsidRPr="00BA739A">
        <w:rPr>
          <w:b/>
          <w:bCs/>
          <w:sz w:val="22"/>
          <w:szCs w:val="22"/>
        </w:rPr>
        <w:t>Brazilian Animal Science/ Ciência Animal Brasileira</w:t>
      </w:r>
      <w:r w:rsidRPr="00BA739A">
        <w:rPr>
          <w:sz w:val="22"/>
          <w:szCs w:val="22"/>
          <w:shd w:val="clear" w:color="auto" w:fill="FFFFFF"/>
        </w:rPr>
        <w:t>, Goiânia, v. 24, 2023. Disponível em: https://revistas.ufg.br/vet/article/view/74562.</w:t>
      </w:r>
      <w:r w:rsidRPr="0061216D">
        <w:rPr>
          <w:sz w:val="22"/>
          <w:szCs w:val="22"/>
          <w:shd w:val="clear" w:color="auto" w:fill="FFFFFF"/>
        </w:rPr>
        <w:t xml:space="preserve"> </w:t>
      </w:r>
    </w:p>
    <w:p w14:paraId="435EC087" w14:textId="77777777" w:rsidR="002A0128" w:rsidRPr="002A0128" w:rsidRDefault="002A0128" w:rsidP="00AB1D4A">
      <w:pPr>
        <w:jc w:val="both"/>
      </w:pPr>
    </w:p>
    <w:p w14:paraId="338C86F3" w14:textId="77777777" w:rsidR="00AB1D4A" w:rsidRPr="002E64AE" w:rsidRDefault="00AB1D4A" w:rsidP="00AB1D4A">
      <w:pPr>
        <w:jc w:val="both"/>
      </w:pPr>
    </w:p>
    <w:p w14:paraId="3121D6FE" w14:textId="77777777" w:rsidR="00AB1D4A" w:rsidRDefault="00AB1D4A" w:rsidP="00AB1D4A">
      <w:pPr>
        <w:jc w:val="both"/>
      </w:pPr>
      <w:r w:rsidRPr="00E74EB6">
        <w:rPr>
          <w:b/>
          <w:bCs/>
        </w:rPr>
        <w:t>Agradecimentos</w:t>
      </w:r>
      <w:r w:rsidRPr="00E74EB6">
        <w:t xml:space="preserve"> </w:t>
      </w:r>
      <w:r w:rsidRPr="00AB1D4A">
        <w:rPr>
          <w:b/>
          <w:bCs/>
        </w:rPr>
        <w:t>(opcional)</w:t>
      </w:r>
    </w:p>
    <w:p w14:paraId="7A41A962" w14:textId="3209FD1E" w:rsidR="00AB1D4A" w:rsidRDefault="00AB1D4A" w:rsidP="001B3752">
      <w:pPr>
        <w:ind w:firstLine="708"/>
        <w:jc w:val="both"/>
      </w:pPr>
      <w:r w:rsidRPr="00C37DC5">
        <w:t>Esta seção é opcional e</w:t>
      </w:r>
      <w:r w:rsidR="002A6566">
        <w:t xml:space="preserve">, preferencialmente, </w:t>
      </w:r>
      <w:r w:rsidRPr="00C37DC5">
        <w:t xml:space="preserve">deve ser incluída no corpo do </w:t>
      </w:r>
      <w:r>
        <w:t xml:space="preserve">artigo </w:t>
      </w:r>
      <w:r w:rsidR="002A6566">
        <w:t xml:space="preserve">apenas após o aceite para publicação </w:t>
      </w:r>
      <w:r>
        <w:t>a fim de ocultar a identidade dos autores para os avaliadores. Se necessário</w:t>
      </w:r>
      <w:r w:rsidRPr="00C37DC5">
        <w:t>, um arquivo separado chamado "Agradecimentos" deve ser carregado</w:t>
      </w:r>
      <w:r>
        <w:t xml:space="preserve"> no ato da submissão.  </w:t>
      </w:r>
    </w:p>
    <w:p w14:paraId="5B835FD0" w14:textId="77777777" w:rsidR="004B082A" w:rsidRDefault="004B082A" w:rsidP="00AB1D4A">
      <w:pPr>
        <w:jc w:val="both"/>
        <w:rPr>
          <w:b/>
          <w:bCs/>
        </w:rPr>
      </w:pPr>
    </w:p>
    <w:p w14:paraId="6693A7CB" w14:textId="061129F5" w:rsidR="007920E5" w:rsidRDefault="007920E5" w:rsidP="00AB1D4A">
      <w:pPr>
        <w:jc w:val="both"/>
        <w:rPr>
          <w:b/>
          <w:bCs/>
        </w:rPr>
      </w:pPr>
      <w:r w:rsidRPr="00E74EB6">
        <w:rPr>
          <w:b/>
          <w:bCs/>
        </w:rPr>
        <w:t>Referências</w:t>
      </w:r>
    </w:p>
    <w:p w14:paraId="5AD0D692" w14:textId="6265C937" w:rsidR="002A6566" w:rsidRDefault="00291585" w:rsidP="001B3752">
      <w:pPr>
        <w:ind w:firstLine="708"/>
        <w:jc w:val="both"/>
      </w:pPr>
      <w:r w:rsidRPr="00291585">
        <w:rPr>
          <w:shd w:val="clear" w:color="auto" w:fill="FFFFFF"/>
        </w:rPr>
        <w:t xml:space="preserve">A lista completa de referências </w:t>
      </w:r>
      <w:r w:rsidR="00E535C0">
        <w:rPr>
          <w:shd w:val="clear" w:color="auto" w:fill="FFFFFF"/>
        </w:rPr>
        <w:t>ao</w:t>
      </w:r>
      <w:r w:rsidRPr="00291585">
        <w:rPr>
          <w:shd w:val="clear" w:color="auto" w:fill="FFFFFF"/>
        </w:rPr>
        <w:t xml:space="preserve"> final do artigo, deve estar de acordo com o </w:t>
      </w:r>
      <w:r w:rsidRPr="00AB1D4A">
        <w:rPr>
          <w:rStyle w:val="Forte"/>
        </w:rPr>
        <w:t>Estilo</w:t>
      </w:r>
      <w:r w:rsidRPr="00AB1D4A">
        <w:rPr>
          <w:rStyle w:val="apple-converted-space"/>
        </w:rPr>
        <w:t> </w:t>
      </w:r>
      <w:r w:rsidRPr="00AB1D4A">
        <w:rPr>
          <w:rStyle w:val="nfase"/>
          <w:b/>
          <w:bCs/>
          <w:i w:val="0"/>
          <w:iCs w:val="0"/>
        </w:rPr>
        <w:t>Vancouver</w:t>
      </w:r>
      <w:r w:rsidR="00AB1D4A" w:rsidRPr="00AB1D4A">
        <w:rPr>
          <w:rStyle w:val="nfase"/>
          <w:i w:val="0"/>
          <w:iCs w:val="0"/>
        </w:rPr>
        <w:t>.</w:t>
      </w:r>
      <w:r w:rsidR="00AB1D4A" w:rsidRPr="00AB1D4A">
        <w:rPr>
          <w:rStyle w:val="nfase"/>
        </w:rPr>
        <w:t xml:space="preserve"> </w:t>
      </w:r>
      <w:r w:rsidRPr="00AB1D4A">
        <w:rPr>
          <w:shd w:val="clear" w:color="auto" w:fill="FFFFFF"/>
        </w:rPr>
        <w:t>As</w:t>
      </w:r>
      <w:r w:rsidRPr="00291585">
        <w:rPr>
          <w:shd w:val="clear" w:color="auto" w:fill="FFFFFF"/>
        </w:rPr>
        <w:t xml:space="preserve"> referências devem ser numeradas na ordem em que aparecem no texto. A exatidão e adequação das referencias a trabalhos que tenham sido mencionados no texto são da responsabilidade dos autores.</w:t>
      </w:r>
      <w:r>
        <w:rPr>
          <w:shd w:val="clear" w:color="auto" w:fill="FFFFFF"/>
        </w:rPr>
        <w:t xml:space="preserve"> </w:t>
      </w:r>
    </w:p>
    <w:p w14:paraId="39C7DFD3" w14:textId="77777777" w:rsidR="00E535C0" w:rsidRDefault="002A6566" w:rsidP="001B3752">
      <w:pPr>
        <w:ind w:firstLine="708"/>
        <w:jc w:val="both"/>
      </w:pPr>
      <w:r w:rsidRPr="002A6566">
        <w:rPr>
          <w:b/>
          <w:bCs/>
        </w:rPr>
        <w:t>Não devem ser utilizados como referências: resumos simples ou expandidos e trabalhos completos em anais de eventos</w:t>
      </w:r>
      <w:r w:rsidRPr="002A6566">
        <w:t>.</w:t>
      </w:r>
      <w:r>
        <w:t xml:space="preserve"> </w:t>
      </w:r>
      <w:r w:rsidRPr="002A6566">
        <w:rPr>
          <w:b/>
          <w:bCs/>
        </w:rPr>
        <w:t>Indicamos que não utilizem como referência disserta</w:t>
      </w:r>
      <w:r w:rsidR="00E535C0">
        <w:rPr>
          <w:b/>
          <w:bCs/>
        </w:rPr>
        <w:t>ções</w:t>
      </w:r>
      <w:r w:rsidRPr="002A6566">
        <w:rPr>
          <w:b/>
          <w:bCs/>
        </w:rPr>
        <w:t xml:space="preserve"> ou tese</w:t>
      </w:r>
      <w:r w:rsidR="00E535C0">
        <w:rPr>
          <w:b/>
          <w:bCs/>
        </w:rPr>
        <w:t>s</w:t>
      </w:r>
      <w:r w:rsidRPr="002A6566">
        <w:rPr>
          <w:b/>
          <w:bCs/>
        </w:rPr>
        <w:t>.</w:t>
      </w:r>
      <w:r w:rsidRPr="002A6566">
        <w:t xml:space="preserve"> Entretanto, se imprescindível e quando não houver o respectivo artigo científico publicado em periódico, deve ser referente </w:t>
      </w:r>
      <w:r w:rsidR="00E535C0">
        <w:t>a defesa ocorrida no</w:t>
      </w:r>
      <w:r w:rsidRPr="002A6566">
        <w:t>s últimos dois anos. Esse tipo de referência deve, obrigatoriamente, apresentar o link que remeta ao cadastro nacional de teses da CAPES e os bancos locais das universidades que publicam esses documentos no formato .pdf.</w:t>
      </w:r>
      <w:r>
        <w:t xml:space="preserve"> </w:t>
      </w:r>
    </w:p>
    <w:p w14:paraId="38395CFB" w14:textId="50C2314D" w:rsidR="002A6566" w:rsidRDefault="002A6566" w:rsidP="001B1C77">
      <w:pPr>
        <w:ind w:firstLine="360"/>
        <w:jc w:val="both"/>
      </w:pPr>
      <w:r w:rsidRPr="002A6566">
        <w:lastRenderedPageBreak/>
        <w:t>Solicita-se, também, priorizar referências de periódicos e não de livros-texto. O editor científico pode pedir mais informações em relação às referências no momento de editoração do artigo. Seu pronto atendimento agilizará a sua publicação. O processo de resgate fácil das informações é o ponto principal de uma referenciação bibliográfica, técnica ou eletrônica.</w:t>
      </w:r>
      <w:r w:rsidR="001B3752">
        <w:t xml:space="preserve"> Segue abaixo exemplos de citação e referências:</w:t>
      </w:r>
    </w:p>
    <w:p w14:paraId="1DE2BD28" w14:textId="3930DDFD" w:rsidR="001B3752" w:rsidRDefault="001B3752" w:rsidP="001B1C77">
      <w:pPr>
        <w:ind w:firstLine="360"/>
        <w:jc w:val="both"/>
      </w:pPr>
    </w:p>
    <w:p w14:paraId="21E78793" w14:textId="77777777" w:rsidR="001B3752" w:rsidRPr="002A6566" w:rsidRDefault="001B3752" w:rsidP="001B1C77">
      <w:pPr>
        <w:spacing w:before="100" w:beforeAutospacing="1" w:after="100" w:afterAutospacing="1"/>
        <w:jc w:val="both"/>
      </w:pPr>
      <w:r w:rsidRPr="002A6566">
        <w:rPr>
          <w:b/>
          <w:bCs/>
        </w:rPr>
        <w:t>Exemplos de citação:</w:t>
      </w:r>
    </w:p>
    <w:p w14:paraId="4A48E2A6" w14:textId="77777777" w:rsidR="001B3752" w:rsidRPr="002A6566" w:rsidRDefault="001B3752" w:rsidP="001B1C77">
      <w:pPr>
        <w:spacing w:before="100" w:beforeAutospacing="1" w:after="100" w:afterAutospacing="1"/>
        <w:jc w:val="both"/>
      </w:pPr>
      <w:r w:rsidRPr="002A6566">
        <w:t>As citações das referências no texto devem ser feitas numericamente, em ordem crescente, entre parênteses e sobrescritas.</w:t>
      </w:r>
    </w:p>
    <w:p w14:paraId="692BE8BF" w14:textId="77777777" w:rsidR="001B3752" w:rsidRPr="002A6566" w:rsidRDefault="001B3752" w:rsidP="001B1C77">
      <w:pPr>
        <w:numPr>
          <w:ilvl w:val="0"/>
          <w:numId w:val="12"/>
        </w:numPr>
        <w:spacing w:before="100" w:beforeAutospacing="1" w:after="100" w:afterAutospacing="1"/>
        <w:jc w:val="both"/>
      </w:pPr>
      <w:r w:rsidRPr="002A6566">
        <w:t>Citação indireta:</w:t>
      </w:r>
    </w:p>
    <w:p w14:paraId="548CDD8C" w14:textId="77CE757D" w:rsidR="001B3752" w:rsidRPr="002A6566" w:rsidRDefault="001B3752" w:rsidP="001B1C77">
      <w:pPr>
        <w:numPr>
          <w:ilvl w:val="0"/>
          <w:numId w:val="13"/>
        </w:numPr>
        <w:spacing w:before="100" w:beforeAutospacing="1" w:after="100" w:afterAutospacing="1"/>
        <w:jc w:val="both"/>
        <w:rPr>
          <w:lang w:val="en-US"/>
        </w:rPr>
      </w:pPr>
      <w:r w:rsidRPr="002A6566">
        <w:rPr>
          <w:lang w:val="en-US"/>
        </w:rPr>
        <w:t>Reports of</w:t>
      </w:r>
      <w:r w:rsidRPr="002A6566">
        <w:rPr>
          <w:i/>
          <w:iCs/>
          <w:lang w:val="en-US"/>
        </w:rPr>
        <w:t>similis</w:t>
      </w:r>
      <w:r w:rsidRPr="002A6566">
        <w:rPr>
          <w:lang w:val="en-US"/>
        </w:rPr>
        <w:t> lesion are scarce in the literature. Histopathological studies with three </w:t>
      </w:r>
      <w:r w:rsidRPr="002A6566">
        <w:rPr>
          <w:i/>
          <w:iCs/>
          <w:lang w:val="en-US"/>
        </w:rPr>
        <w:t>Loxosceles</w:t>
      </w:r>
      <w:r w:rsidRPr="002A6566">
        <w:rPr>
          <w:lang w:val="en-US"/>
        </w:rPr>
        <w:t> species of clinical importance, </w:t>
      </w:r>
      <w:r w:rsidRPr="002A6566">
        <w:rPr>
          <w:i/>
          <w:iCs/>
          <w:lang w:val="en-US"/>
        </w:rPr>
        <w:t>intermedia</w:t>
      </w:r>
      <w:r w:rsidRPr="002A6566">
        <w:rPr>
          <w:lang w:val="en-US"/>
        </w:rPr>
        <w:t>, </w:t>
      </w:r>
      <w:r w:rsidRPr="002A6566">
        <w:rPr>
          <w:i/>
          <w:iCs/>
          <w:lang w:val="en-US"/>
        </w:rPr>
        <w:t>L. laeta </w:t>
      </w:r>
      <w:r w:rsidRPr="002A6566">
        <w:rPr>
          <w:lang w:val="en-US"/>
        </w:rPr>
        <w:t>and </w:t>
      </w:r>
      <w:r w:rsidRPr="002A6566">
        <w:rPr>
          <w:i/>
          <w:iCs/>
          <w:lang w:val="en-US"/>
        </w:rPr>
        <w:t>L. recluse</w:t>
      </w:r>
      <w:r w:rsidRPr="002A6566">
        <w:rPr>
          <w:lang w:val="en-US"/>
        </w:rPr>
        <w:t>, showed that the venom induces vasodilation, edema, inflammatory infiltrate (mainly neutrophilic), hemorrhage, cutaneous muscle necrosis, thrombosis and arteriolar walls degeneration</w:t>
      </w:r>
      <w:r w:rsidRPr="002A6566">
        <w:rPr>
          <w:sz w:val="16"/>
          <w:szCs w:val="16"/>
          <w:vertAlign w:val="superscript"/>
          <w:lang w:val="en-US"/>
        </w:rPr>
        <w:t>(6, 13-15)</w:t>
      </w:r>
      <w:r w:rsidRPr="002A6566">
        <w:rPr>
          <w:lang w:val="en-US"/>
        </w:rPr>
        <w:t>. It is necessary to elucidate whether the histological lesion induced by the </w:t>
      </w:r>
      <w:r w:rsidRPr="002A6566">
        <w:rPr>
          <w:i/>
          <w:iCs/>
          <w:lang w:val="en-US"/>
        </w:rPr>
        <w:t>Loxosceles similis</w:t>
      </w:r>
      <w:r w:rsidRPr="002A6566">
        <w:rPr>
          <w:lang w:val="en-US"/>
        </w:rPr>
        <w:t> venom is similar to that observed in other species of medical importance. Furthermore, it is important to determine the pathogenesis of the loxoscelic dermonecrotic lesion(...)</w:t>
      </w:r>
    </w:p>
    <w:p w14:paraId="3B1C2EDC" w14:textId="77777777" w:rsidR="001B3752" w:rsidRPr="002A6566" w:rsidRDefault="001B3752" w:rsidP="001B1C77">
      <w:pPr>
        <w:numPr>
          <w:ilvl w:val="0"/>
          <w:numId w:val="14"/>
        </w:numPr>
        <w:spacing w:before="100" w:beforeAutospacing="1" w:after="100" w:afterAutospacing="1"/>
        <w:jc w:val="both"/>
      </w:pPr>
      <w:r w:rsidRPr="002A6566">
        <w:t>Citação direta:</w:t>
      </w:r>
    </w:p>
    <w:p w14:paraId="433E7015" w14:textId="77777777" w:rsidR="001B3752" w:rsidRPr="002A6566" w:rsidRDefault="001B3752" w:rsidP="001B1C77">
      <w:pPr>
        <w:numPr>
          <w:ilvl w:val="0"/>
          <w:numId w:val="15"/>
        </w:numPr>
        <w:spacing w:before="100" w:beforeAutospacing="1" w:after="100" w:afterAutospacing="1"/>
        <w:jc w:val="both"/>
        <w:rPr>
          <w:lang w:val="en-US"/>
        </w:rPr>
      </w:pPr>
      <w:r w:rsidRPr="002A6566">
        <w:rPr>
          <w:lang w:val="en-US"/>
        </w:rPr>
        <w:t>According to Zanetti et al.</w:t>
      </w:r>
      <w:r w:rsidRPr="002A6566">
        <w:rPr>
          <w:sz w:val="16"/>
          <w:szCs w:val="16"/>
          <w:vertAlign w:val="superscript"/>
          <w:lang w:val="en-US"/>
        </w:rPr>
        <w:t>(17)</w:t>
      </w:r>
      <w:r w:rsidRPr="002A6566">
        <w:rPr>
          <w:lang w:val="en-US"/>
        </w:rPr>
        <w:t>and Nowatzki et al.</w:t>
      </w:r>
      <w:r w:rsidRPr="002A6566">
        <w:rPr>
          <w:sz w:val="16"/>
          <w:szCs w:val="16"/>
          <w:vertAlign w:val="superscript"/>
          <w:lang w:val="en-US"/>
        </w:rPr>
        <w:t>(18)</w:t>
      </w:r>
      <w:r w:rsidRPr="002A6566">
        <w:rPr>
          <w:lang w:val="en-US"/>
        </w:rPr>
        <w:t>who studied the action of the L. intermedia venom in vitro on endothelial cells, it was observed that 18 hours after the venom action, cells showed plasmatic membrane convolutions and chromatin condensation.</w:t>
      </w:r>
    </w:p>
    <w:p w14:paraId="4D5EBE61" w14:textId="77777777" w:rsidR="001B3752" w:rsidRPr="002A6566" w:rsidRDefault="001B3752" w:rsidP="001B1C77">
      <w:pPr>
        <w:spacing w:before="100" w:beforeAutospacing="1" w:after="100" w:afterAutospacing="1"/>
        <w:jc w:val="both"/>
      </w:pPr>
      <w:r w:rsidRPr="002A6566">
        <w:rPr>
          <w:i/>
          <w:iCs/>
        </w:rPr>
        <w:t>Referências utilizadas no exemplo de citação direta e indireta acima:</w:t>
      </w:r>
    </w:p>
    <w:p w14:paraId="46BA6688" w14:textId="77777777" w:rsidR="001B3752" w:rsidRPr="002A6566" w:rsidRDefault="001B3752" w:rsidP="001B1C77">
      <w:pPr>
        <w:spacing w:before="100" w:beforeAutospacing="1" w:after="100" w:afterAutospacing="1"/>
        <w:jc w:val="both"/>
        <w:rPr>
          <w:lang w:val="en-US"/>
        </w:rPr>
      </w:pPr>
      <w:r w:rsidRPr="002A6566">
        <w:t xml:space="preserve">    </w:t>
      </w:r>
      <w:r w:rsidRPr="002A6566">
        <w:rPr>
          <w:lang w:val="en-US"/>
        </w:rPr>
        <w:t>6. Futrell J. Loxoscelism. Am J Med Sci. 1992;304(4):261-7.</w:t>
      </w:r>
    </w:p>
    <w:p w14:paraId="77FC3A55" w14:textId="77777777" w:rsidR="001B3752" w:rsidRPr="002A6566" w:rsidRDefault="001B3752" w:rsidP="001B1C77">
      <w:pPr>
        <w:numPr>
          <w:ilvl w:val="0"/>
          <w:numId w:val="16"/>
        </w:numPr>
        <w:spacing w:before="100" w:beforeAutospacing="1" w:after="100" w:afterAutospacing="1"/>
        <w:jc w:val="both"/>
      </w:pPr>
      <w:r w:rsidRPr="002A6566">
        <w:rPr>
          <w:lang w:val="en-US"/>
        </w:rPr>
        <w:t>Smith WC, Micks WD. The role of polimorphonuclear leukocytes in the lesion caused by the venom of the brown spider (</w:t>
      </w:r>
      <w:r w:rsidRPr="002A6566">
        <w:rPr>
          <w:i/>
          <w:iCs/>
          <w:lang w:val="en-US"/>
        </w:rPr>
        <w:t>Loxosceles reclusa</w:t>
      </w:r>
      <w:r w:rsidRPr="002A6566">
        <w:rPr>
          <w:lang w:val="en-US"/>
        </w:rPr>
        <w:t xml:space="preserve">). </w:t>
      </w:r>
      <w:r w:rsidRPr="002A6566">
        <w:t>Lab Invest. 1970;22:90-3.</w:t>
      </w:r>
    </w:p>
    <w:p w14:paraId="2256C14C" w14:textId="77777777" w:rsidR="001B3752" w:rsidRPr="002A6566" w:rsidRDefault="001B3752" w:rsidP="001B1C77">
      <w:pPr>
        <w:numPr>
          <w:ilvl w:val="0"/>
          <w:numId w:val="16"/>
        </w:numPr>
        <w:spacing w:before="100" w:beforeAutospacing="1" w:after="100" w:afterAutospacing="1"/>
        <w:jc w:val="both"/>
      </w:pPr>
      <w:r w:rsidRPr="002A6566">
        <w:rPr>
          <w:lang w:val="en-US"/>
        </w:rPr>
        <w:t>Strain GM, Snider TG, Tedford BL, Cohn GH. Hyperbaric oxygen effects on brown recluse spider (</w:t>
      </w:r>
      <w:r w:rsidRPr="002A6566">
        <w:rPr>
          <w:i/>
          <w:iCs/>
          <w:lang w:val="en-US"/>
        </w:rPr>
        <w:t>Loxosceles reclusa</w:t>
      </w:r>
      <w:r w:rsidRPr="002A6566">
        <w:rPr>
          <w:lang w:val="en-US"/>
        </w:rPr>
        <w:t xml:space="preserve">) envenomation in rabbits. </w:t>
      </w:r>
      <w:r w:rsidRPr="002A6566">
        <w:t>1991;29(8):989-96.</w:t>
      </w:r>
    </w:p>
    <w:p w14:paraId="7542422B" w14:textId="77777777" w:rsidR="001B3752" w:rsidRPr="002A6566" w:rsidRDefault="001B3752" w:rsidP="001B1C77">
      <w:pPr>
        <w:numPr>
          <w:ilvl w:val="0"/>
          <w:numId w:val="16"/>
        </w:numPr>
        <w:spacing w:before="100" w:beforeAutospacing="1" w:after="100" w:afterAutospacing="1"/>
        <w:jc w:val="both"/>
      </w:pPr>
      <w:r w:rsidRPr="002A6566">
        <w:rPr>
          <w:lang w:val="en-US"/>
        </w:rPr>
        <w:t>Ospedal KZ, Appel MH, Neto JF, Mangili OC, Sanches Veiga S, Gremski W. Histopathological findings in rabbits after experimental acute exposure to the </w:t>
      </w:r>
      <w:r w:rsidRPr="002A6566">
        <w:rPr>
          <w:i/>
          <w:iCs/>
          <w:lang w:val="en-US"/>
        </w:rPr>
        <w:t>Loxosceles intermedia</w:t>
      </w:r>
      <w:r w:rsidRPr="002A6566">
        <w:rPr>
          <w:lang w:val="en-US"/>
        </w:rPr>
        <w:t xml:space="preserve">(Brown spider) venom. </w:t>
      </w:r>
      <w:r w:rsidRPr="002A6566">
        <w:t>Int J Exp Pathol. 2002;83(6):287-94.</w:t>
      </w:r>
    </w:p>
    <w:p w14:paraId="09F1695B" w14:textId="77777777" w:rsidR="001B3752" w:rsidRPr="001B3752" w:rsidRDefault="001B3752" w:rsidP="001B1C77">
      <w:pPr>
        <w:numPr>
          <w:ilvl w:val="0"/>
          <w:numId w:val="17"/>
        </w:numPr>
        <w:spacing w:before="100" w:beforeAutospacing="1" w:after="100" w:afterAutospacing="1"/>
        <w:jc w:val="both"/>
        <w:rPr>
          <w:lang w:val="en-US"/>
        </w:rPr>
      </w:pPr>
      <w:r w:rsidRPr="002A6566">
        <w:t xml:space="preserve">Zanetti VC, da Silveira RB, Dreyfuss JL, Haoach J, Mangili OC, Veiga SS, et al. </w:t>
      </w:r>
      <w:r w:rsidRPr="002A6566">
        <w:rPr>
          <w:lang w:val="en-US"/>
        </w:rPr>
        <w:t xml:space="preserve">Morphological and biochemical evidence of blood vessel damage and fibrinogenolysis triggered by brown spider venom. </w:t>
      </w:r>
      <w:r w:rsidRPr="001B3752">
        <w:rPr>
          <w:lang w:val="en-US"/>
        </w:rPr>
        <w:t>Blood Coagul Fibrinolysis. 2002;13(2):135-48.</w:t>
      </w:r>
    </w:p>
    <w:p w14:paraId="0D6373BF" w14:textId="77777777" w:rsidR="001B3752" w:rsidRPr="001B3752" w:rsidRDefault="001B3752" w:rsidP="001B1C77">
      <w:pPr>
        <w:numPr>
          <w:ilvl w:val="0"/>
          <w:numId w:val="17"/>
        </w:numPr>
        <w:spacing w:before="100" w:beforeAutospacing="1" w:after="100" w:afterAutospacing="1"/>
        <w:jc w:val="both"/>
        <w:rPr>
          <w:lang w:val="en-US"/>
        </w:rPr>
      </w:pPr>
      <w:r w:rsidRPr="002A6566">
        <w:t xml:space="preserve">Nowatzki J, de Sene RV, Paludo KS, Veiga SS, Oliver C, Jamur MC, et al. </w:t>
      </w:r>
      <w:r w:rsidRPr="002A6566">
        <w:rPr>
          <w:lang w:val="en-US"/>
        </w:rPr>
        <w:t xml:space="preserve">Brown spider venom toxins interact with cell surface and are endocytosed by rabbit endothelial cells. </w:t>
      </w:r>
      <w:r w:rsidRPr="001B3752">
        <w:rPr>
          <w:lang w:val="en-US"/>
        </w:rPr>
        <w:t>2010;56(4):535-43</w:t>
      </w:r>
    </w:p>
    <w:p w14:paraId="3B5C15E4" w14:textId="77777777" w:rsidR="001B3752" w:rsidRPr="002A6566" w:rsidRDefault="001B3752" w:rsidP="001B1C77">
      <w:pPr>
        <w:spacing w:before="100" w:beforeAutospacing="1" w:after="100" w:afterAutospacing="1"/>
        <w:jc w:val="both"/>
      </w:pPr>
      <w:r w:rsidRPr="002A6566">
        <w:lastRenderedPageBreak/>
        <w:t xml:space="preserve">(Fonte: Pereira NB, Kalapothakis E, Vasconcelos AC, Chatzaki M, Campos LP, Vieira FO et al. </w:t>
      </w:r>
      <w:r w:rsidRPr="002A6566">
        <w:rPr>
          <w:lang w:val="en-US"/>
        </w:rPr>
        <w:t xml:space="preserve">Histopathological characterization of experimentally induced cutaneous loxoscelism in rabbits inoculated with Loxosceles similis venom. </w:t>
      </w:r>
      <w:r w:rsidRPr="001B1C77">
        <w:rPr>
          <w:lang w:val="en-US"/>
        </w:rPr>
        <w:t xml:space="preserve">J. Venom. Anim. </w:t>
      </w:r>
      <w:r w:rsidRPr="002A6566">
        <w:t>Toxins incl. Trop. Dis  [periódico na Internet]. 2012 [citado 2013 Nov 04]; 18(3): 277-286. Disponível em: http://www.scielo.br/scielo.php?script=sci_arttext&amp;pid=S1678-91992012000300005&amp;lng=pt.  http://dx.doi.org/10.1590/S1678-91992012000300005)</w:t>
      </w:r>
    </w:p>
    <w:p w14:paraId="22C10735" w14:textId="77777777" w:rsidR="001B3752" w:rsidRDefault="001B3752" w:rsidP="001B3752">
      <w:pPr>
        <w:ind w:firstLine="360"/>
        <w:jc w:val="both"/>
      </w:pPr>
    </w:p>
    <w:p w14:paraId="1B1F019C" w14:textId="340EAEB2" w:rsidR="001B3752" w:rsidRDefault="001B3752" w:rsidP="001B3752">
      <w:pPr>
        <w:ind w:firstLine="360"/>
        <w:jc w:val="both"/>
      </w:pPr>
    </w:p>
    <w:p w14:paraId="3250A5F3" w14:textId="2417987A" w:rsidR="001B3752" w:rsidRPr="001B3752" w:rsidRDefault="001B3752" w:rsidP="001B1C77">
      <w:pPr>
        <w:ind w:firstLine="360"/>
        <w:jc w:val="both"/>
        <w:rPr>
          <w:b/>
          <w:bCs/>
        </w:rPr>
      </w:pPr>
      <w:r w:rsidRPr="001B3752">
        <w:rPr>
          <w:b/>
          <w:bCs/>
        </w:rPr>
        <w:t>Exemplos de referências:</w:t>
      </w:r>
    </w:p>
    <w:p w14:paraId="0BB0D0E5" w14:textId="77777777" w:rsidR="002A6566" w:rsidRPr="002A6566" w:rsidRDefault="002A6566" w:rsidP="001B1C77">
      <w:pPr>
        <w:numPr>
          <w:ilvl w:val="0"/>
          <w:numId w:val="4"/>
        </w:numPr>
        <w:spacing w:before="100" w:beforeAutospacing="1" w:after="100" w:afterAutospacing="1"/>
        <w:jc w:val="both"/>
      </w:pPr>
      <w:r w:rsidRPr="002A6566">
        <w:t>Trabalho em Periódicos:</w:t>
      </w:r>
    </w:p>
    <w:p w14:paraId="194AA527" w14:textId="77777777" w:rsidR="002A6566" w:rsidRPr="002A6566" w:rsidRDefault="002A6566" w:rsidP="001B1C77">
      <w:pPr>
        <w:spacing w:before="100" w:beforeAutospacing="1" w:after="100" w:afterAutospacing="1"/>
        <w:jc w:val="both"/>
        <w:rPr>
          <w:lang w:val="en-US"/>
        </w:rPr>
      </w:pPr>
      <w:r w:rsidRPr="002A6566">
        <w:rPr>
          <w:lang w:val="en-US"/>
        </w:rPr>
        <w:t>Kalavathy R, Abdullah N, Jalaludin S, Ho YW. Effects of Lactobacillus cultures on growth performance, abdominal fat deposition, serum lipids and weight of organs of broiler chickens. British Poultry Science. 2003;44(1):139-144. </w:t>
      </w:r>
      <w:r w:rsidRPr="002A6566">
        <w:rPr>
          <w:u w:val="single"/>
          <w:lang w:val="en-US"/>
        </w:rPr>
        <w:t>(</w:t>
      </w:r>
      <w:hyperlink r:id="rId11" w:anchor="A32362" w:history="1">
        <w:r w:rsidRPr="002A6566">
          <w:rPr>
            <w:color w:val="006798"/>
            <w:u w:val="single"/>
            <w:lang w:val="en-US"/>
          </w:rPr>
          <w:t>http://www.ncbi.nlm.nih.gov/books/NBK7282/#A32362</w:t>
        </w:r>
      </w:hyperlink>
      <w:r w:rsidRPr="002A6566">
        <w:rPr>
          <w:lang w:val="en-US"/>
        </w:rPr>
        <w:t>)</w:t>
      </w:r>
    </w:p>
    <w:p w14:paraId="5FAE9957" w14:textId="77A27030" w:rsidR="002A6566" w:rsidRPr="002A6566" w:rsidRDefault="002A6566" w:rsidP="001B1C77">
      <w:pPr>
        <w:pStyle w:val="PargrafodaLista"/>
        <w:numPr>
          <w:ilvl w:val="0"/>
          <w:numId w:val="4"/>
        </w:numPr>
        <w:spacing w:before="100" w:beforeAutospacing="1" w:after="100" w:afterAutospacing="1"/>
        <w:jc w:val="both"/>
      </w:pPr>
      <w:r w:rsidRPr="002A6566">
        <w:t>Trabalho em Periódicos Online:</w:t>
      </w:r>
    </w:p>
    <w:p w14:paraId="483D8615" w14:textId="77777777" w:rsidR="002A6566" w:rsidRPr="002A6566" w:rsidRDefault="002A6566" w:rsidP="001B1C77">
      <w:pPr>
        <w:spacing w:before="100" w:beforeAutospacing="1" w:after="100" w:afterAutospacing="1"/>
        <w:jc w:val="both"/>
      </w:pPr>
      <w:r w:rsidRPr="002A6566">
        <w:t xml:space="preserve">Gueiros VA, Borges APB, Silva JCP, Duarte TS, Franco KL. Utilização do adesivo Metil-2-Cianoacrilato e fio de náilon na reparação de feridas cutâneas de cães e gatos [Utilization of the methyl-2-cyanoacrylate adhesive and the nylon suture in surgical skin wounds of dogs and cats]. </w:t>
      </w:r>
      <w:r w:rsidRPr="002A6566">
        <w:rPr>
          <w:lang w:val="en-US"/>
        </w:rPr>
        <w:t>Ciência Rural [Internet]. 2001 Apr [cited 2008 Oct 10];31(2):285-289. Available from: </w:t>
      </w:r>
      <w:hyperlink r:id="rId12" w:history="1">
        <w:r w:rsidRPr="002A6566">
          <w:rPr>
            <w:color w:val="006798"/>
            <w:u w:val="single"/>
            <w:lang w:val="en-US"/>
          </w:rPr>
          <w:t>http://www.scielo.br/scielo.php?script=sci_arttext&amp;pid=S0103-84782001000200015</w:t>
        </w:r>
      </w:hyperlink>
      <w:r w:rsidRPr="002A6566">
        <w:rPr>
          <w:lang w:val="en-US"/>
        </w:rPr>
        <w:t xml:space="preserve">.  </w:t>
      </w:r>
      <w:r w:rsidRPr="002A6566">
        <w:t>Portuguese. (</w:t>
      </w:r>
      <w:hyperlink r:id="rId13" w:anchor="A55587" w:history="1">
        <w:r w:rsidRPr="002A6566">
          <w:rPr>
            <w:color w:val="006798"/>
            <w:u w:val="single"/>
          </w:rPr>
          <w:t>http://www.ncbi.nlm.nih.gov/books/NBK7281/#A55587</w:t>
        </w:r>
      </w:hyperlink>
      <w:r w:rsidRPr="002A6566">
        <w:t>)</w:t>
      </w:r>
    </w:p>
    <w:p w14:paraId="7B4DA78C" w14:textId="479F0A0A" w:rsidR="002A6566" w:rsidRPr="002A6566" w:rsidRDefault="002A6566" w:rsidP="001B1C77">
      <w:pPr>
        <w:pStyle w:val="PargrafodaLista"/>
        <w:numPr>
          <w:ilvl w:val="0"/>
          <w:numId w:val="4"/>
        </w:numPr>
        <w:spacing w:before="100" w:beforeAutospacing="1" w:after="100" w:afterAutospacing="1"/>
        <w:jc w:val="both"/>
      </w:pPr>
      <w:r w:rsidRPr="002A6566">
        <w:t>Livro Inteiro:</w:t>
      </w:r>
    </w:p>
    <w:p w14:paraId="6D21907B" w14:textId="77777777" w:rsidR="002A6566" w:rsidRPr="002A6566" w:rsidRDefault="002A6566" w:rsidP="001B1C77">
      <w:pPr>
        <w:spacing w:before="100" w:beforeAutospacing="1" w:after="100" w:afterAutospacing="1"/>
        <w:jc w:val="both"/>
      </w:pPr>
      <w:r w:rsidRPr="002A6566">
        <w:t>Reis JC. Estatística aplicada à pesquisa em ciência veterinária. 1st ed. Olinda: Luci Artes Gráficas; 2003. 651p. Portuguese. (</w:t>
      </w:r>
      <w:hyperlink r:id="rId14" w:anchor="A34171" w:history="1">
        <w:r w:rsidRPr="002A6566">
          <w:rPr>
            <w:color w:val="006798"/>
            <w:u w:val="single"/>
          </w:rPr>
          <w:t>http://www.ncbi.nlm.nih.gov/books/NBK7271/#A34171</w:t>
        </w:r>
      </w:hyperlink>
      <w:r w:rsidRPr="002A6566">
        <w:t>)</w:t>
      </w:r>
    </w:p>
    <w:p w14:paraId="3BB0AACE" w14:textId="13D44B46" w:rsidR="002A6566" w:rsidRPr="002A6566" w:rsidRDefault="002A6566" w:rsidP="001B1C77">
      <w:pPr>
        <w:pStyle w:val="PargrafodaLista"/>
        <w:numPr>
          <w:ilvl w:val="0"/>
          <w:numId w:val="4"/>
        </w:numPr>
        <w:spacing w:before="100" w:beforeAutospacing="1" w:after="100" w:afterAutospacing="1"/>
        <w:jc w:val="both"/>
      </w:pPr>
      <w:r w:rsidRPr="002A6566">
        <w:t>Capítulo de Livro:</w:t>
      </w:r>
    </w:p>
    <w:p w14:paraId="03957EE0" w14:textId="77777777" w:rsidR="002A6566" w:rsidRPr="002A6566" w:rsidRDefault="002A6566" w:rsidP="001B1C77">
      <w:pPr>
        <w:spacing w:before="100" w:beforeAutospacing="1" w:after="100" w:afterAutospacing="1"/>
        <w:jc w:val="both"/>
      </w:pPr>
      <w:r w:rsidRPr="002A6566">
        <w:t>Pascoe PJ. Cuidados pós-operatórios do paciente. In: Slatter D. Manual de cirurgia de pequenos animais. 2nd ed. São Paulo: Manole; 1998.  p. 287-299. Portuguese. (</w:t>
      </w:r>
      <w:hyperlink r:id="rId15" w:anchor="A34915" w:history="1">
        <w:r w:rsidRPr="002A6566">
          <w:rPr>
            <w:color w:val="006798"/>
            <w:u w:val="single"/>
          </w:rPr>
          <w:t>http://www.ncbi.nlm.nih.gov/books/NBK7271/#A34915</w:t>
        </w:r>
      </w:hyperlink>
      <w:r w:rsidRPr="002A6566">
        <w:t>)</w:t>
      </w:r>
    </w:p>
    <w:p w14:paraId="19310948" w14:textId="4C72ACE7" w:rsidR="002A6566" w:rsidRPr="002A6566" w:rsidRDefault="002A6566" w:rsidP="001B1C77">
      <w:pPr>
        <w:pStyle w:val="PargrafodaLista"/>
        <w:numPr>
          <w:ilvl w:val="0"/>
          <w:numId w:val="4"/>
        </w:numPr>
        <w:spacing w:before="100" w:beforeAutospacing="1" w:after="100" w:afterAutospacing="1"/>
        <w:jc w:val="both"/>
      </w:pPr>
      <w:r w:rsidRPr="002A6566">
        <w:t>Legislação:</w:t>
      </w:r>
    </w:p>
    <w:p w14:paraId="093DC196" w14:textId="77777777" w:rsidR="002A6566" w:rsidRPr="002A6566" w:rsidRDefault="002A6566" w:rsidP="001B1C77">
      <w:pPr>
        <w:spacing w:before="100" w:beforeAutospacing="1" w:after="100" w:afterAutospacing="1"/>
        <w:jc w:val="both"/>
      </w:pPr>
      <w:r w:rsidRPr="002A6566">
        <w:t>Os modelos aqui foram adaptados porque a normalização proposta no Estilo Vancouver não corresponde à realidade brasileira:</w:t>
      </w:r>
    </w:p>
    <w:p w14:paraId="21385456" w14:textId="77777777" w:rsidR="002A6566" w:rsidRPr="002A6566" w:rsidRDefault="002A6566" w:rsidP="001B1C77">
      <w:pPr>
        <w:spacing w:before="100" w:beforeAutospacing="1" w:after="100" w:afterAutospacing="1"/>
        <w:jc w:val="both"/>
      </w:pPr>
      <w:r w:rsidRPr="002A6566">
        <w:t>Brasil. Constituição 1988. Constituição da República Federativa do Brasil. Brasília, DF: Senado; 1988. Portuguese.</w:t>
      </w:r>
    </w:p>
    <w:p w14:paraId="09082D9B" w14:textId="685CD0EB" w:rsidR="002A6566" w:rsidRPr="002A6566" w:rsidRDefault="002A6566" w:rsidP="001B1C77">
      <w:pPr>
        <w:spacing w:before="100" w:beforeAutospacing="1" w:after="100" w:afterAutospacing="1"/>
        <w:jc w:val="both"/>
      </w:pPr>
      <w:r w:rsidRPr="002A6566">
        <w:t xml:space="preserve">Brasil. Ministério da Educação e Ministério da Saúde. Portaria interministerial no. 1000 de 15 de abril de 2004. Resolvem certificar como Hospital de Ensino das Instituições Hospitalares que servirem de campo para a prática de atividades curriculares na área da saúde, sejam </w:t>
      </w:r>
      <w:r w:rsidR="001B1C77">
        <w:lastRenderedPageBreak/>
        <w:t>h</w:t>
      </w:r>
      <w:r w:rsidRPr="002A6566">
        <w:t>ospitais Gerais e, ou</w:t>
      </w:r>
      <w:r w:rsidR="001B1C77">
        <w:t xml:space="preserve"> e</w:t>
      </w:r>
      <w:r w:rsidRPr="002A6566">
        <w:t>specializados. Diário Oficial da União. 2004 Abr 16; Seção 1. Portuguese.</w:t>
      </w:r>
    </w:p>
    <w:p w14:paraId="19CA35EE" w14:textId="56AF18B3" w:rsidR="002A6566" w:rsidRPr="002A6566" w:rsidRDefault="002A6566" w:rsidP="001B1C77">
      <w:pPr>
        <w:pStyle w:val="PargrafodaLista"/>
        <w:numPr>
          <w:ilvl w:val="0"/>
          <w:numId w:val="4"/>
        </w:numPr>
        <w:spacing w:before="100" w:beforeAutospacing="1" w:after="100" w:afterAutospacing="1"/>
        <w:jc w:val="both"/>
      </w:pPr>
      <w:r w:rsidRPr="002A6566">
        <w:t>Programas de Computador:</w:t>
      </w:r>
    </w:p>
    <w:p w14:paraId="7D839BC9" w14:textId="77777777" w:rsidR="002A6566" w:rsidRPr="002A6566" w:rsidRDefault="002A6566" w:rsidP="001B1C77">
      <w:pPr>
        <w:spacing w:before="100" w:beforeAutospacing="1" w:after="100" w:afterAutospacing="1"/>
        <w:jc w:val="both"/>
        <w:rPr>
          <w:lang w:val="en-US"/>
        </w:rPr>
      </w:pPr>
      <w:r w:rsidRPr="002A6566">
        <w:rPr>
          <w:lang w:val="en-US"/>
        </w:rPr>
        <w:t>SAS Institute. Statistical Analysis System: user guide [CD-ROM]. Version 8. Cary (NC): SAS Insitute Inc., 2002. (</w:t>
      </w:r>
      <w:hyperlink r:id="rId16" w:history="1">
        <w:r w:rsidRPr="002A6566">
          <w:rPr>
            <w:color w:val="006798"/>
            <w:u w:val="single"/>
            <w:lang w:val="en-US"/>
          </w:rPr>
          <w:t>http://www.ncbi.nlm.nih.gov/books/NBK7244/</w:t>
        </w:r>
      </w:hyperlink>
      <w:r w:rsidRPr="002A6566">
        <w:rPr>
          <w:lang w:val="en-US"/>
        </w:rPr>
        <w:t>)</w:t>
      </w:r>
    </w:p>
    <w:p w14:paraId="3CFC744B" w14:textId="768F1380" w:rsidR="002A6566" w:rsidRPr="002A6566" w:rsidRDefault="002A6566" w:rsidP="001B1C77">
      <w:pPr>
        <w:pStyle w:val="PargrafodaLista"/>
        <w:numPr>
          <w:ilvl w:val="0"/>
          <w:numId w:val="4"/>
        </w:numPr>
        <w:spacing w:before="100" w:beforeAutospacing="1" w:after="100" w:afterAutospacing="1"/>
        <w:jc w:val="both"/>
      </w:pPr>
      <w:r w:rsidRPr="002A6566">
        <w:t>Websites:</w:t>
      </w:r>
    </w:p>
    <w:p w14:paraId="3C0627E7" w14:textId="77777777" w:rsidR="002A6566" w:rsidRPr="002A6566" w:rsidRDefault="002A6566" w:rsidP="001B1C77">
      <w:pPr>
        <w:spacing w:before="100" w:beforeAutospacing="1" w:after="100" w:afterAutospacing="1"/>
        <w:jc w:val="both"/>
      </w:pPr>
      <w:r w:rsidRPr="002A6566">
        <w:t xml:space="preserve">Silva MET, Flemming S, Martinez JL, Thomazini PL. Rendimento de carcaça de búfalos (bubalus bubalis l.) confinados em terminação, com dietas contendo diferentes relações de volumoso e concentrado. 2 - Características Quantitativas [Internet]. Brasília: Associação Brasileira de Zootecnia; 2010 Oct 8 [cited 2013 Jun 27]. </w:t>
      </w:r>
      <w:r w:rsidRPr="002A6566">
        <w:rPr>
          <w:lang w:val="en-US"/>
        </w:rPr>
        <w:t>Available from: </w:t>
      </w:r>
      <w:hyperlink r:id="rId17" w:history="1">
        <w:r w:rsidRPr="002A6566">
          <w:rPr>
            <w:color w:val="006798"/>
            <w:u w:val="single"/>
            <w:lang w:val="en-US"/>
          </w:rPr>
          <w:t>http://www.abz.org.br/publicacoes-tecnicas/anais-zootec/artigos-cientificos/reproducao-melhoramento-animal/23861-Rendimento-carcaa-bfalos-bubalus-bubalis-confinados-terminao-com-dietas-contendo-diferentes-relaes-volumoso-concentrado---Caractersticas-Quantitativas.html</w:t>
        </w:r>
      </w:hyperlink>
      <w:r w:rsidRPr="002A6566">
        <w:rPr>
          <w:lang w:val="en-US"/>
        </w:rPr>
        <w:t xml:space="preserve">. </w:t>
      </w:r>
      <w:r w:rsidRPr="002A6566">
        <w:t>Portuguese. (</w:t>
      </w:r>
      <w:hyperlink r:id="rId18" w:anchor="A59404" w:history="1">
        <w:r w:rsidRPr="002A6566">
          <w:rPr>
            <w:color w:val="006798"/>
            <w:u w:val="single"/>
          </w:rPr>
          <w:t>http://www.ncbi.nlm.nih.gov/books/NBK7274/#A59404</w:t>
        </w:r>
      </w:hyperlink>
      <w:r w:rsidRPr="002A6566">
        <w:t>)</w:t>
      </w:r>
    </w:p>
    <w:p w14:paraId="5335ADC5" w14:textId="2B721C80" w:rsidR="002A6566" w:rsidRPr="002A6566" w:rsidRDefault="002A6566" w:rsidP="001B1C77">
      <w:pPr>
        <w:pStyle w:val="PargrafodaLista"/>
        <w:numPr>
          <w:ilvl w:val="0"/>
          <w:numId w:val="4"/>
        </w:numPr>
        <w:spacing w:before="100" w:beforeAutospacing="1" w:after="100" w:afterAutospacing="1"/>
        <w:jc w:val="both"/>
      </w:pPr>
      <w:r w:rsidRPr="002A6566">
        <w:t>Solicita-se que o número DOI, ou o link correspondente, dos artigos assim identificados seja acrescentado ao final da referência.</w:t>
      </w:r>
    </w:p>
    <w:p w14:paraId="4D584B23" w14:textId="77777777" w:rsidR="002A6566" w:rsidRPr="002A6566" w:rsidRDefault="002A6566" w:rsidP="001B1C77">
      <w:pPr>
        <w:spacing w:before="100" w:beforeAutospacing="1" w:after="100" w:afterAutospacing="1"/>
        <w:jc w:val="both"/>
      </w:pPr>
      <w:r w:rsidRPr="002A6566">
        <w:t xml:space="preserve">Ribeiro Carina Teixeira, De Souza Diogo Benchimol, Medeiros Jr. Jorge Luiz, Costa Waldemar Silva, Pereira-Sampaio Marco Aurélio, Sampaio Francisco José Barcellos. </w:t>
      </w:r>
      <w:r w:rsidRPr="002A6566">
        <w:rPr>
          <w:lang w:val="en-US"/>
        </w:rPr>
        <w:t xml:space="preserve">Pneumoperitoneum induces morphological alterations in the rat testicle. Acta Cir. </w:t>
      </w:r>
      <w:r w:rsidRPr="002A6566">
        <w:t>Bras.  [periódico na Internet]. 2013  Jun [citado  2013  Jun  27];  28(6): 419-422. </w:t>
      </w:r>
      <w:r w:rsidRPr="002A6566">
        <w:rPr>
          <w:b/>
          <w:bCs/>
        </w:rPr>
        <w:t>Disponível em:http://dx.doi.org/10.1590/S0102-86502013000600003.</w:t>
      </w:r>
    </w:p>
    <w:p w14:paraId="4F475F1F" w14:textId="77777777" w:rsidR="002A6566" w:rsidRPr="002A6566" w:rsidRDefault="002A6566" w:rsidP="001B1C77">
      <w:pPr>
        <w:spacing w:before="100" w:beforeAutospacing="1" w:after="100" w:afterAutospacing="1"/>
        <w:jc w:val="both"/>
      </w:pPr>
      <w:r w:rsidRPr="002A6566">
        <w:rPr>
          <w:b/>
          <w:bCs/>
        </w:rPr>
        <w:t> </w:t>
      </w:r>
    </w:p>
    <w:p w14:paraId="759B129D" w14:textId="77777777" w:rsidR="002A6566" w:rsidRPr="002A6566" w:rsidRDefault="002A6566" w:rsidP="001B1C77">
      <w:pPr>
        <w:jc w:val="both"/>
      </w:pPr>
    </w:p>
    <w:p w14:paraId="0520C76A" w14:textId="77777777" w:rsidR="00AB1D4A" w:rsidRPr="0010472C" w:rsidRDefault="00AB1D4A" w:rsidP="001B1C77">
      <w:pPr>
        <w:ind w:firstLine="708"/>
        <w:jc w:val="both"/>
      </w:pPr>
    </w:p>
    <w:sectPr w:rsidR="00AB1D4A" w:rsidRPr="0010472C" w:rsidSect="00E74EB6">
      <w:pgSz w:w="11900" w:h="16840"/>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16173" w14:textId="77777777" w:rsidR="00F5550C" w:rsidRDefault="00F5550C" w:rsidP="00E74EB6">
      <w:r>
        <w:separator/>
      </w:r>
    </w:p>
  </w:endnote>
  <w:endnote w:type="continuationSeparator" w:id="0">
    <w:p w14:paraId="605440BC" w14:textId="77777777" w:rsidR="00F5550C" w:rsidRDefault="00F5550C" w:rsidP="00E7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C7832" w14:textId="77777777" w:rsidR="00F5550C" w:rsidRDefault="00F5550C" w:rsidP="00E74EB6">
      <w:r>
        <w:separator/>
      </w:r>
    </w:p>
  </w:footnote>
  <w:footnote w:type="continuationSeparator" w:id="0">
    <w:p w14:paraId="4DB2848C" w14:textId="77777777" w:rsidR="00F5550C" w:rsidRDefault="00F5550C" w:rsidP="00E74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177042912"/>
      <w:docPartObj>
        <w:docPartGallery w:val="Page Numbers (Top of Page)"/>
        <w:docPartUnique/>
      </w:docPartObj>
    </w:sdtPr>
    <w:sdtContent>
      <w:p w14:paraId="67F0AF1D" w14:textId="60B58EB6" w:rsidR="00E74EB6" w:rsidRDefault="00E74EB6" w:rsidP="00AD11B1">
        <w:pPr>
          <w:pStyle w:val="Cabealh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0012B8E" w14:textId="77777777" w:rsidR="00E74EB6" w:rsidRDefault="00E74EB6" w:rsidP="00E74EB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26219677"/>
      <w:docPartObj>
        <w:docPartGallery w:val="Page Numbers (Top of Page)"/>
        <w:docPartUnique/>
      </w:docPartObj>
    </w:sdtPr>
    <w:sdtContent>
      <w:p w14:paraId="6930DF41" w14:textId="0DA50A7B" w:rsidR="00AD11B1" w:rsidRDefault="00AD11B1" w:rsidP="00AE7BEA">
        <w:pPr>
          <w:pStyle w:val="Cabealh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14:paraId="19E4C274" w14:textId="352046C1" w:rsidR="00B76B4F" w:rsidRDefault="00B76B4F" w:rsidP="00AD11B1">
    <w:pPr>
      <w:pStyle w:val="Cabealho"/>
      <w:ind w:right="360"/>
    </w:pPr>
  </w:p>
  <w:p w14:paraId="57419DB8" w14:textId="77777777" w:rsidR="00E74EB6" w:rsidRDefault="00E74EB6" w:rsidP="00E74EB6">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27A0"/>
    <w:multiLevelType w:val="multilevel"/>
    <w:tmpl w:val="C2360F6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263146"/>
    <w:multiLevelType w:val="multilevel"/>
    <w:tmpl w:val="2556AEC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E51CB9"/>
    <w:multiLevelType w:val="hybridMultilevel"/>
    <w:tmpl w:val="84BA406A"/>
    <w:lvl w:ilvl="0" w:tplc="007E301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5DA5799"/>
    <w:multiLevelType w:val="multilevel"/>
    <w:tmpl w:val="C860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1066DA"/>
    <w:multiLevelType w:val="multilevel"/>
    <w:tmpl w:val="F73C6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550DFA"/>
    <w:multiLevelType w:val="multilevel"/>
    <w:tmpl w:val="C83074D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8D7B83"/>
    <w:multiLevelType w:val="multilevel"/>
    <w:tmpl w:val="3B6AA2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242301"/>
    <w:multiLevelType w:val="multilevel"/>
    <w:tmpl w:val="2E5861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70286D"/>
    <w:multiLevelType w:val="multilevel"/>
    <w:tmpl w:val="2AA4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6C231B"/>
    <w:multiLevelType w:val="multilevel"/>
    <w:tmpl w:val="F3B61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1B11D2"/>
    <w:multiLevelType w:val="multilevel"/>
    <w:tmpl w:val="AB0699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830029"/>
    <w:multiLevelType w:val="multilevel"/>
    <w:tmpl w:val="9506B2E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E40791"/>
    <w:multiLevelType w:val="multilevel"/>
    <w:tmpl w:val="F2380C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6B633C"/>
    <w:multiLevelType w:val="multilevel"/>
    <w:tmpl w:val="97005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C20894"/>
    <w:multiLevelType w:val="multilevel"/>
    <w:tmpl w:val="9216DE4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512687"/>
    <w:multiLevelType w:val="multilevel"/>
    <w:tmpl w:val="892A75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6836E8"/>
    <w:multiLevelType w:val="multilevel"/>
    <w:tmpl w:val="55AE6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37614843">
    <w:abstractNumId w:val="4"/>
  </w:num>
  <w:num w:numId="2" w16cid:durableId="335228827">
    <w:abstractNumId w:val="13"/>
  </w:num>
  <w:num w:numId="3" w16cid:durableId="2092046034">
    <w:abstractNumId w:val="2"/>
  </w:num>
  <w:num w:numId="4" w16cid:durableId="57943555">
    <w:abstractNumId w:val="16"/>
  </w:num>
  <w:num w:numId="5" w16cid:durableId="2065712328">
    <w:abstractNumId w:val="12"/>
  </w:num>
  <w:num w:numId="6" w16cid:durableId="36055945">
    <w:abstractNumId w:val="7"/>
  </w:num>
  <w:num w:numId="7" w16cid:durableId="1488208049">
    <w:abstractNumId w:val="15"/>
  </w:num>
  <w:num w:numId="8" w16cid:durableId="432669996">
    <w:abstractNumId w:val="10"/>
  </w:num>
  <w:num w:numId="9" w16cid:durableId="453446511">
    <w:abstractNumId w:val="0"/>
  </w:num>
  <w:num w:numId="10" w16cid:durableId="1072002648">
    <w:abstractNumId w:val="5"/>
  </w:num>
  <w:num w:numId="11" w16cid:durableId="1400441336">
    <w:abstractNumId w:val="1"/>
  </w:num>
  <w:num w:numId="12" w16cid:durableId="758020092">
    <w:abstractNumId w:val="9"/>
  </w:num>
  <w:num w:numId="13" w16cid:durableId="1318222909">
    <w:abstractNumId w:val="8"/>
  </w:num>
  <w:num w:numId="14" w16cid:durableId="317149755">
    <w:abstractNumId w:val="6"/>
  </w:num>
  <w:num w:numId="15" w16cid:durableId="1567960177">
    <w:abstractNumId w:val="3"/>
  </w:num>
  <w:num w:numId="16" w16cid:durableId="898437969">
    <w:abstractNumId w:val="11"/>
  </w:num>
  <w:num w:numId="17" w16cid:durableId="8417755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A9"/>
    <w:rsid w:val="00000099"/>
    <w:rsid w:val="00017A0E"/>
    <w:rsid w:val="00032CE1"/>
    <w:rsid w:val="00094592"/>
    <w:rsid w:val="000C42B5"/>
    <w:rsid w:val="001010F0"/>
    <w:rsid w:val="0010472C"/>
    <w:rsid w:val="00161266"/>
    <w:rsid w:val="00180999"/>
    <w:rsid w:val="001A578A"/>
    <w:rsid w:val="001B1C77"/>
    <w:rsid w:val="001B3752"/>
    <w:rsid w:val="001C0007"/>
    <w:rsid w:val="001C04CF"/>
    <w:rsid w:val="0029124C"/>
    <w:rsid w:val="00291585"/>
    <w:rsid w:val="002964B5"/>
    <w:rsid w:val="002A0128"/>
    <w:rsid w:val="002A6566"/>
    <w:rsid w:val="002B69A7"/>
    <w:rsid w:val="002E64AE"/>
    <w:rsid w:val="002E6F24"/>
    <w:rsid w:val="003563C3"/>
    <w:rsid w:val="00362FFB"/>
    <w:rsid w:val="00372ABA"/>
    <w:rsid w:val="00395E3D"/>
    <w:rsid w:val="003B7902"/>
    <w:rsid w:val="003E1356"/>
    <w:rsid w:val="00453A8D"/>
    <w:rsid w:val="004675C7"/>
    <w:rsid w:val="004727A9"/>
    <w:rsid w:val="004B082A"/>
    <w:rsid w:val="005147D8"/>
    <w:rsid w:val="00572435"/>
    <w:rsid w:val="00596363"/>
    <w:rsid w:val="005969F2"/>
    <w:rsid w:val="005F7FF9"/>
    <w:rsid w:val="00602151"/>
    <w:rsid w:val="0061216D"/>
    <w:rsid w:val="006255F9"/>
    <w:rsid w:val="006B42E7"/>
    <w:rsid w:val="006D6788"/>
    <w:rsid w:val="00711914"/>
    <w:rsid w:val="00721545"/>
    <w:rsid w:val="007316CD"/>
    <w:rsid w:val="00743370"/>
    <w:rsid w:val="00763B8E"/>
    <w:rsid w:val="007920E5"/>
    <w:rsid w:val="007A43E3"/>
    <w:rsid w:val="00812886"/>
    <w:rsid w:val="00897B14"/>
    <w:rsid w:val="009807BC"/>
    <w:rsid w:val="009E4707"/>
    <w:rsid w:val="00A322EB"/>
    <w:rsid w:val="00A65DCB"/>
    <w:rsid w:val="00AB1D4A"/>
    <w:rsid w:val="00AD11B1"/>
    <w:rsid w:val="00AD4459"/>
    <w:rsid w:val="00B10522"/>
    <w:rsid w:val="00B16612"/>
    <w:rsid w:val="00B24B0B"/>
    <w:rsid w:val="00B2607A"/>
    <w:rsid w:val="00B45630"/>
    <w:rsid w:val="00B535B3"/>
    <w:rsid w:val="00B665A4"/>
    <w:rsid w:val="00B76B4F"/>
    <w:rsid w:val="00BA6D8C"/>
    <w:rsid w:val="00BA739A"/>
    <w:rsid w:val="00BD4C65"/>
    <w:rsid w:val="00BE4F6E"/>
    <w:rsid w:val="00C24006"/>
    <w:rsid w:val="00C315AA"/>
    <w:rsid w:val="00C37DC5"/>
    <w:rsid w:val="00C53387"/>
    <w:rsid w:val="00C861AF"/>
    <w:rsid w:val="00C87D1C"/>
    <w:rsid w:val="00D4313D"/>
    <w:rsid w:val="00D53643"/>
    <w:rsid w:val="00DE371B"/>
    <w:rsid w:val="00DF6F1D"/>
    <w:rsid w:val="00E43453"/>
    <w:rsid w:val="00E535C0"/>
    <w:rsid w:val="00E74EB6"/>
    <w:rsid w:val="00EC2908"/>
    <w:rsid w:val="00ED13C9"/>
    <w:rsid w:val="00F0346D"/>
    <w:rsid w:val="00F17BD2"/>
    <w:rsid w:val="00F2304A"/>
    <w:rsid w:val="00F25F54"/>
    <w:rsid w:val="00F47E83"/>
    <w:rsid w:val="00F53507"/>
    <w:rsid w:val="00F5550C"/>
    <w:rsid w:val="00F701C3"/>
    <w:rsid w:val="00F7669A"/>
    <w:rsid w:val="00FE41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B7AB"/>
  <w15:chartTrackingRefBased/>
  <w15:docId w15:val="{1C33329C-ABF9-3548-A76D-F83B5986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566"/>
    <w:rPr>
      <w:rFonts w:ascii="Times New Roman" w:eastAsia="Times New Roman" w:hAnsi="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E74EB6"/>
  </w:style>
  <w:style w:type="character" w:styleId="Nmerodelinha">
    <w:name w:val="line number"/>
    <w:basedOn w:val="Fontepargpadro"/>
    <w:uiPriority w:val="99"/>
    <w:semiHidden/>
    <w:unhideWhenUsed/>
    <w:rsid w:val="00E74EB6"/>
  </w:style>
  <w:style w:type="paragraph" w:styleId="Cabealho">
    <w:name w:val="header"/>
    <w:basedOn w:val="Normal"/>
    <w:link w:val="CabealhoChar"/>
    <w:uiPriority w:val="99"/>
    <w:unhideWhenUsed/>
    <w:rsid w:val="00E74EB6"/>
    <w:pPr>
      <w:tabs>
        <w:tab w:val="center" w:pos="4252"/>
        <w:tab w:val="right" w:pos="8504"/>
      </w:tabs>
    </w:pPr>
  </w:style>
  <w:style w:type="character" w:customStyle="1" w:styleId="CabealhoChar">
    <w:name w:val="Cabeçalho Char"/>
    <w:basedOn w:val="Fontepargpadro"/>
    <w:link w:val="Cabealho"/>
    <w:uiPriority w:val="99"/>
    <w:rsid w:val="00E74EB6"/>
  </w:style>
  <w:style w:type="character" w:styleId="Nmerodepgina">
    <w:name w:val="page number"/>
    <w:basedOn w:val="Fontepargpadro"/>
    <w:uiPriority w:val="99"/>
    <w:semiHidden/>
    <w:unhideWhenUsed/>
    <w:rsid w:val="00E74EB6"/>
  </w:style>
  <w:style w:type="paragraph" w:styleId="NormalWeb">
    <w:name w:val="Normal (Web)"/>
    <w:basedOn w:val="Normal"/>
    <w:uiPriority w:val="99"/>
    <w:semiHidden/>
    <w:unhideWhenUsed/>
    <w:rsid w:val="00B2607A"/>
    <w:pPr>
      <w:spacing w:before="100" w:beforeAutospacing="1" w:after="100" w:afterAutospacing="1"/>
    </w:pPr>
  </w:style>
  <w:style w:type="character" w:styleId="Hyperlink">
    <w:name w:val="Hyperlink"/>
    <w:basedOn w:val="Fontepargpadro"/>
    <w:uiPriority w:val="99"/>
    <w:unhideWhenUsed/>
    <w:rsid w:val="00B2607A"/>
    <w:rPr>
      <w:color w:val="0000FF"/>
      <w:u w:val="single"/>
    </w:rPr>
  </w:style>
  <w:style w:type="character" w:styleId="nfase">
    <w:name w:val="Emphasis"/>
    <w:basedOn w:val="Fontepargpadro"/>
    <w:uiPriority w:val="20"/>
    <w:qFormat/>
    <w:rsid w:val="00B2607A"/>
    <w:rPr>
      <w:i/>
      <w:iCs/>
    </w:rPr>
  </w:style>
  <w:style w:type="character" w:styleId="Forte">
    <w:name w:val="Strong"/>
    <w:basedOn w:val="Fontepargpadro"/>
    <w:uiPriority w:val="22"/>
    <w:qFormat/>
    <w:rsid w:val="00291585"/>
    <w:rPr>
      <w:b/>
      <w:bCs/>
    </w:rPr>
  </w:style>
  <w:style w:type="paragraph" w:customStyle="1" w:styleId="show">
    <w:name w:val="show"/>
    <w:basedOn w:val="Normal"/>
    <w:rsid w:val="00291585"/>
    <w:pPr>
      <w:spacing w:before="100" w:beforeAutospacing="1" w:after="100" w:afterAutospacing="1"/>
    </w:pPr>
  </w:style>
  <w:style w:type="paragraph" w:styleId="PargrafodaLista">
    <w:name w:val="List Paragraph"/>
    <w:basedOn w:val="Normal"/>
    <w:uiPriority w:val="34"/>
    <w:qFormat/>
    <w:rsid w:val="005969F2"/>
    <w:pPr>
      <w:ind w:left="720"/>
      <w:contextualSpacing/>
    </w:pPr>
  </w:style>
  <w:style w:type="paragraph" w:styleId="Rodap">
    <w:name w:val="footer"/>
    <w:basedOn w:val="Normal"/>
    <w:link w:val="RodapChar"/>
    <w:uiPriority w:val="99"/>
    <w:unhideWhenUsed/>
    <w:rsid w:val="00B76B4F"/>
    <w:pPr>
      <w:tabs>
        <w:tab w:val="center" w:pos="4252"/>
        <w:tab w:val="right" w:pos="8504"/>
      </w:tabs>
    </w:pPr>
  </w:style>
  <w:style w:type="character" w:customStyle="1" w:styleId="RodapChar">
    <w:name w:val="Rodapé Char"/>
    <w:basedOn w:val="Fontepargpadro"/>
    <w:link w:val="Rodap"/>
    <w:uiPriority w:val="99"/>
    <w:rsid w:val="00B76B4F"/>
    <w:rPr>
      <w:rFonts w:ascii="Times New Roman" w:eastAsia="Times New Roman" w:hAnsi="Times New Roman" w:cs="Times New Roman"/>
      <w:lang w:eastAsia="pt-BR"/>
    </w:rPr>
  </w:style>
  <w:style w:type="character" w:styleId="HiperlinkVisitado">
    <w:name w:val="FollowedHyperlink"/>
    <w:basedOn w:val="Fontepargpadro"/>
    <w:uiPriority w:val="99"/>
    <w:semiHidden/>
    <w:unhideWhenUsed/>
    <w:rsid w:val="00B16612"/>
    <w:rPr>
      <w:color w:val="954F72" w:themeColor="followedHyperlink"/>
      <w:u w:val="single"/>
    </w:rPr>
  </w:style>
  <w:style w:type="paragraph" w:styleId="SemEspaamento">
    <w:name w:val="No Spacing"/>
    <w:uiPriority w:val="1"/>
    <w:qFormat/>
    <w:rsid w:val="002E64AE"/>
    <w:pPr>
      <w:jc w:val="both"/>
    </w:pPr>
    <w:rPr>
      <w:rFonts w:ascii="Times New Roman" w:eastAsia="Calibri" w:hAnsi="Times New Roman"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7800">
      <w:bodyDiv w:val="1"/>
      <w:marLeft w:val="0"/>
      <w:marRight w:val="0"/>
      <w:marTop w:val="0"/>
      <w:marBottom w:val="0"/>
      <w:divBdr>
        <w:top w:val="none" w:sz="0" w:space="0" w:color="auto"/>
        <w:left w:val="none" w:sz="0" w:space="0" w:color="auto"/>
        <w:bottom w:val="none" w:sz="0" w:space="0" w:color="auto"/>
        <w:right w:val="none" w:sz="0" w:space="0" w:color="auto"/>
      </w:divBdr>
    </w:div>
    <w:div w:id="142889551">
      <w:bodyDiv w:val="1"/>
      <w:marLeft w:val="0"/>
      <w:marRight w:val="0"/>
      <w:marTop w:val="0"/>
      <w:marBottom w:val="0"/>
      <w:divBdr>
        <w:top w:val="none" w:sz="0" w:space="0" w:color="auto"/>
        <w:left w:val="none" w:sz="0" w:space="0" w:color="auto"/>
        <w:bottom w:val="none" w:sz="0" w:space="0" w:color="auto"/>
        <w:right w:val="none" w:sz="0" w:space="0" w:color="auto"/>
      </w:divBdr>
    </w:div>
    <w:div w:id="147207978">
      <w:bodyDiv w:val="1"/>
      <w:marLeft w:val="0"/>
      <w:marRight w:val="0"/>
      <w:marTop w:val="0"/>
      <w:marBottom w:val="0"/>
      <w:divBdr>
        <w:top w:val="none" w:sz="0" w:space="0" w:color="auto"/>
        <w:left w:val="none" w:sz="0" w:space="0" w:color="auto"/>
        <w:bottom w:val="none" w:sz="0" w:space="0" w:color="auto"/>
        <w:right w:val="none" w:sz="0" w:space="0" w:color="auto"/>
      </w:divBdr>
    </w:div>
    <w:div w:id="371733398">
      <w:bodyDiv w:val="1"/>
      <w:marLeft w:val="0"/>
      <w:marRight w:val="0"/>
      <w:marTop w:val="0"/>
      <w:marBottom w:val="0"/>
      <w:divBdr>
        <w:top w:val="none" w:sz="0" w:space="0" w:color="auto"/>
        <w:left w:val="none" w:sz="0" w:space="0" w:color="auto"/>
        <w:bottom w:val="none" w:sz="0" w:space="0" w:color="auto"/>
        <w:right w:val="none" w:sz="0" w:space="0" w:color="auto"/>
      </w:divBdr>
    </w:div>
    <w:div w:id="652686346">
      <w:bodyDiv w:val="1"/>
      <w:marLeft w:val="0"/>
      <w:marRight w:val="0"/>
      <w:marTop w:val="0"/>
      <w:marBottom w:val="0"/>
      <w:divBdr>
        <w:top w:val="none" w:sz="0" w:space="0" w:color="auto"/>
        <w:left w:val="none" w:sz="0" w:space="0" w:color="auto"/>
        <w:bottom w:val="none" w:sz="0" w:space="0" w:color="auto"/>
        <w:right w:val="none" w:sz="0" w:space="0" w:color="auto"/>
      </w:divBdr>
    </w:div>
    <w:div w:id="692734162">
      <w:bodyDiv w:val="1"/>
      <w:marLeft w:val="0"/>
      <w:marRight w:val="0"/>
      <w:marTop w:val="0"/>
      <w:marBottom w:val="0"/>
      <w:divBdr>
        <w:top w:val="none" w:sz="0" w:space="0" w:color="auto"/>
        <w:left w:val="none" w:sz="0" w:space="0" w:color="auto"/>
        <w:bottom w:val="none" w:sz="0" w:space="0" w:color="auto"/>
        <w:right w:val="none" w:sz="0" w:space="0" w:color="auto"/>
      </w:divBdr>
    </w:div>
    <w:div w:id="862934408">
      <w:bodyDiv w:val="1"/>
      <w:marLeft w:val="0"/>
      <w:marRight w:val="0"/>
      <w:marTop w:val="0"/>
      <w:marBottom w:val="0"/>
      <w:divBdr>
        <w:top w:val="none" w:sz="0" w:space="0" w:color="auto"/>
        <w:left w:val="none" w:sz="0" w:space="0" w:color="auto"/>
        <w:bottom w:val="none" w:sz="0" w:space="0" w:color="auto"/>
        <w:right w:val="none" w:sz="0" w:space="0" w:color="auto"/>
      </w:divBdr>
    </w:div>
    <w:div w:id="881600113">
      <w:bodyDiv w:val="1"/>
      <w:marLeft w:val="0"/>
      <w:marRight w:val="0"/>
      <w:marTop w:val="0"/>
      <w:marBottom w:val="0"/>
      <w:divBdr>
        <w:top w:val="none" w:sz="0" w:space="0" w:color="auto"/>
        <w:left w:val="none" w:sz="0" w:space="0" w:color="auto"/>
        <w:bottom w:val="none" w:sz="0" w:space="0" w:color="auto"/>
        <w:right w:val="none" w:sz="0" w:space="0" w:color="auto"/>
      </w:divBdr>
      <w:divsChild>
        <w:div w:id="710805619">
          <w:marLeft w:val="0"/>
          <w:marRight w:val="0"/>
          <w:marTop w:val="15"/>
          <w:marBottom w:val="0"/>
          <w:divBdr>
            <w:top w:val="none" w:sz="0" w:space="0" w:color="auto"/>
            <w:left w:val="none" w:sz="0" w:space="0" w:color="auto"/>
            <w:bottom w:val="none" w:sz="0" w:space="0" w:color="auto"/>
            <w:right w:val="none" w:sz="0" w:space="0" w:color="auto"/>
          </w:divBdr>
          <w:divsChild>
            <w:div w:id="318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0171">
      <w:bodyDiv w:val="1"/>
      <w:marLeft w:val="0"/>
      <w:marRight w:val="0"/>
      <w:marTop w:val="0"/>
      <w:marBottom w:val="0"/>
      <w:divBdr>
        <w:top w:val="none" w:sz="0" w:space="0" w:color="auto"/>
        <w:left w:val="none" w:sz="0" w:space="0" w:color="auto"/>
        <w:bottom w:val="none" w:sz="0" w:space="0" w:color="auto"/>
        <w:right w:val="none" w:sz="0" w:space="0" w:color="auto"/>
      </w:divBdr>
      <w:divsChild>
        <w:div w:id="1951551309">
          <w:marLeft w:val="0"/>
          <w:marRight w:val="0"/>
          <w:marTop w:val="0"/>
          <w:marBottom w:val="0"/>
          <w:divBdr>
            <w:top w:val="none" w:sz="0" w:space="0" w:color="auto"/>
            <w:left w:val="none" w:sz="0" w:space="0" w:color="auto"/>
            <w:bottom w:val="none" w:sz="0" w:space="0" w:color="auto"/>
            <w:right w:val="none" w:sz="0" w:space="0" w:color="auto"/>
          </w:divBdr>
        </w:div>
        <w:div w:id="1846244645">
          <w:marLeft w:val="0"/>
          <w:marRight w:val="0"/>
          <w:marTop w:val="0"/>
          <w:marBottom w:val="0"/>
          <w:divBdr>
            <w:top w:val="none" w:sz="0" w:space="0" w:color="auto"/>
            <w:left w:val="none" w:sz="0" w:space="0" w:color="auto"/>
            <w:bottom w:val="none" w:sz="0" w:space="0" w:color="auto"/>
            <w:right w:val="none" w:sz="0" w:space="0" w:color="auto"/>
          </w:divBdr>
        </w:div>
      </w:divsChild>
    </w:div>
    <w:div w:id="1081948868">
      <w:bodyDiv w:val="1"/>
      <w:marLeft w:val="0"/>
      <w:marRight w:val="0"/>
      <w:marTop w:val="0"/>
      <w:marBottom w:val="0"/>
      <w:divBdr>
        <w:top w:val="none" w:sz="0" w:space="0" w:color="auto"/>
        <w:left w:val="none" w:sz="0" w:space="0" w:color="auto"/>
        <w:bottom w:val="none" w:sz="0" w:space="0" w:color="auto"/>
        <w:right w:val="none" w:sz="0" w:space="0" w:color="auto"/>
      </w:divBdr>
    </w:div>
    <w:div w:id="1319067035">
      <w:bodyDiv w:val="1"/>
      <w:marLeft w:val="0"/>
      <w:marRight w:val="0"/>
      <w:marTop w:val="0"/>
      <w:marBottom w:val="0"/>
      <w:divBdr>
        <w:top w:val="none" w:sz="0" w:space="0" w:color="auto"/>
        <w:left w:val="none" w:sz="0" w:space="0" w:color="auto"/>
        <w:bottom w:val="none" w:sz="0" w:space="0" w:color="auto"/>
        <w:right w:val="none" w:sz="0" w:space="0" w:color="auto"/>
      </w:divBdr>
    </w:div>
    <w:div w:id="1450123306">
      <w:bodyDiv w:val="1"/>
      <w:marLeft w:val="0"/>
      <w:marRight w:val="0"/>
      <w:marTop w:val="0"/>
      <w:marBottom w:val="0"/>
      <w:divBdr>
        <w:top w:val="none" w:sz="0" w:space="0" w:color="auto"/>
        <w:left w:val="none" w:sz="0" w:space="0" w:color="auto"/>
        <w:bottom w:val="none" w:sz="0" w:space="0" w:color="auto"/>
        <w:right w:val="none" w:sz="0" w:space="0" w:color="auto"/>
      </w:divBdr>
    </w:div>
    <w:div w:id="1516649655">
      <w:bodyDiv w:val="1"/>
      <w:marLeft w:val="0"/>
      <w:marRight w:val="0"/>
      <w:marTop w:val="0"/>
      <w:marBottom w:val="0"/>
      <w:divBdr>
        <w:top w:val="none" w:sz="0" w:space="0" w:color="auto"/>
        <w:left w:val="none" w:sz="0" w:space="0" w:color="auto"/>
        <w:bottom w:val="none" w:sz="0" w:space="0" w:color="auto"/>
        <w:right w:val="none" w:sz="0" w:space="0" w:color="auto"/>
      </w:divBdr>
    </w:div>
    <w:div w:id="1881669939">
      <w:bodyDiv w:val="1"/>
      <w:marLeft w:val="0"/>
      <w:marRight w:val="0"/>
      <w:marTop w:val="0"/>
      <w:marBottom w:val="0"/>
      <w:divBdr>
        <w:top w:val="none" w:sz="0" w:space="0" w:color="auto"/>
        <w:left w:val="none" w:sz="0" w:space="0" w:color="auto"/>
        <w:bottom w:val="none" w:sz="0" w:space="0" w:color="auto"/>
        <w:right w:val="none" w:sz="0" w:space="0" w:color="auto"/>
      </w:divBdr>
    </w:div>
    <w:div w:id="194900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books/NBK7281/" TargetMode="External"/><Relationship Id="rId18" Type="http://schemas.openxmlformats.org/officeDocument/2006/relationships/hyperlink" Target="http://www.ncbi.nlm.nih.gov/books/NBK7274/" TargetMode="External"/><Relationship Id="rId3" Type="http://schemas.openxmlformats.org/officeDocument/2006/relationships/settings" Target="settings.xml"/><Relationship Id="rId7" Type="http://schemas.openxmlformats.org/officeDocument/2006/relationships/hyperlink" Target="https://www.scielo.br/j/jbn/a/4kqVkwSqkgFTbdC9VgThvnP/?lang=pt" TargetMode="External"/><Relationship Id="rId12" Type="http://schemas.openxmlformats.org/officeDocument/2006/relationships/hyperlink" Target="http://www.scielo.br/scielo.php?script=sci_arttext&amp;pid=S0103-84782001000200015" TargetMode="External"/><Relationship Id="rId17" Type="http://schemas.openxmlformats.org/officeDocument/2006/relationships/hyperlink" Target="http://www.abz.org.br/publicacoes-tecnicas/anais-zootec/artigos-cientificos/reproducao-melhoramento-animal/23861-Rendimento-carcaa-bfalos-bubalus-bubalis-confinados-terminao-com-dietas-contendo-diferentes-relaes-volumoso-concentrado---Caractersticas-Quantitativas.html" TargetMode="External"/><Relationship Id="rId2" Type="http://schemas.openxmlformats.org/officeDocument/2006/relationships/styles" Target="styles.xml"/><Relationship Id="rId16" Type="http://schemas.openxmlformats.org/officeDocument/2006/relationships/hyperlink" Target="http://www.ncbi.nlm.nih.gov/books/NBK724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books/NBK7282/" TargetMode="External"/><Relationship Id="rId5" Type="http://schemas.openxmlformats.org/officeDocument/2006/relationships/footnotes" Target="footnotes.xml"/><Relationship Id="rId15" Type="http://schemas.openxmlformats.org/officeDocument/2006/relationships/hyperlink" Target="http://www.ncbi.nlm.nih.gov/books/NBK7271/" TargetMode="External"/><Relationship Id="rId10" Type="http://schemas.openxmlformats.org/officeDocument/2006/relationships/hyperlink" Target="https://credit.niso.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ncbi.nlm.nih.gov/books/NBK7271/"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6</Pages>
  <Words>2346</Words>
  <Characters>12673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Cardoso Cintra</dc:creator>
  <cp:keywords/>
  <dc:description/>
  <cp:lastModifiedBy>iMac</cp:lastModifiedBy>
  <cp:revision>32</cp:revision>
  <dcterms:created xsi:type="dcterms:W3CDTF">2022-02-22T20:28:00Z</dcterms:created>
  <dcterms:modified xsi:type="dcterms:W3CDTF">2023-10-06T16:42:00Z</dcterms:modified>
</cp:coreProperties>
</file>